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TÜRK HAVA KURUMU ÜNİVERSİTESİ</w:t>
      </w:r>
    </w:p>
    <w:p>
      <w:pPr>
        <w:spacing w:after="0" w:line="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TÜMLEŞİK EĞİTİM YÖNERGESİ</w:t>
      </w:r>
    </w:p>
    <w:p>
      <w:pPr>
        <w:spacing w:after="0" w:line="200" w:lineRule="exact"/>
        <w:rPr>
          <w:sz w:val="24"/>
          <w:szCs w:val="24"/>
          <w:color w:val="auto"/>
        </w:rPr>
      </w:pPr>
    </w:p>
    <w:p>
      <w:pPr>
        <w:spacing w:after="0" w:line="30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BİRİNCİ BÖLÜM</w:t>
      </w:r>
    </w:p>
    <w:p>
      <w:pPr>
        <w:jc w:val="center"/>
        <w:spacing w:after="0"/>
        <w:rPr>
          <w:sz w:val="20"/>
          <w:szCs w:val="20"/>
          <w:color w:val="auto"/>
        </w:rPr>
      </w:pPr>
      <w:r>
        <w:rPr>
          <w:rFonts w:ascii="Times New Roman" w:cs="Times New Roman" w:eastAsia="Times New Roman" w:hAnsi="Times New Roman"/>
          <w:sz w:val="22"/>
          <w:szCs w:val="22"/>
          <w:b w:val="1"/>
          <w:bCs w:val="1"/>
          <w:color w:val="auto"/>
        </w:rPr>
        <w:t>Amaç, Kapsam, Dayanak ve Tanımlar</w:t>
      </w:r>
    </w:p>
    <w:p>
      <w:pPr>
        <w:spacing w:after="0" w:line="3"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Amaç</w:t>
      </w:r>
    </w:p>
    <w:p>
      <w:pPr>
        <w:spacing w:after="0" w:line="241" w:lineRule="exact"/>
        <w:rPr>
          <w:sz w:val="24"/>
          <w:szCs w:val="24"/>
          <w:color w:val="auto"/>
        </w:rPr>
      </w:pPr>
    </w:p>
    <w:p>
      <w:pPr>
        <w:jc w:val="both"/>
        <w:ind w:firstLine="708"/>
        <w:spacing w:after="0" w:line="274" w:lineRule="auto"/>
        <w:rPr>
          <w:sz w:val="20"/>
          <w:szCs w:val="20"/>
          <w:color w:val="auto"/>
        </w:rPr>
      </w:pPr>
      <w:r>
        <w:rPr>
          <w:rFonts w:ascii="Times New Roman" w:cs="Times New Roman" w:eastAsia="Times New Roman" w:hAnsi="Times New Roman"/>
          <w:sz w:val="22"/>
          <w:szCs w:val="22"/>
          <w:b w:val="1"/>
          <w:bCs w:val="1"/>
          <w:color w:val="auto"/>
        </w:rPr>
        <w:t xml:space="preserve">MADDE 1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w:t>
      </w:r>
      <w:r>
        <w:rPr>
          <w:rFonts w:ascii="Times New Roman" w:cs="Times New Roman" w:eastAsia="Times New Roman" w:hAnsi="Times New Roman"/>
          <w:sz w:val="22"/>
          <w:szCs w:val="22"/>
          <w:color w:val="auto"/>
        </w:rPr>
        <w:t>önergenin amacı; Türk Hava Kurumu Üniversitesi’</w:t>
      </w:r>
      <w:r>
        <w:rPr>
          <w:rFonts w:ascii="Times New Roman" w:cs="Times New Roman" w:eastAsia="Times New Roman" w:hAnsi="Times New Roman"/>
          <w:sz w:val="22"/>
          <w:szCs w:val="22"/>
          <w:color w:val="auto"/>
        </w:rPr>
        <w:t>nin lisans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programlarında öğrenim gören öğrencilerin öğrenim süreleri içinde kazandıkları teorik bilgi ve deneyimlerini pekiştirmek, laboratuvar ve atölye uygulamalarında edindikleri beceri ve deneyimlerini geliştirmek, görev yapacakları iş yerlerindeki sorumluluklarını, ilişkileri, organizasyon ve üretim sürecini ve yeni teknolojileri tanımalarını sağlamak amacıyla, yapmakla yükümlü oldukları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uygulamalarında uygulanacak esas ve kuralları belirlemektir.</w:t>
      </w:r>
    </w:p>
    <w:p>
      <w:pPr>
        <w:spacing w:after="0" w:line="21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Kapsam</w:t>
      </w:r>
    </w:p>
    <w:p>
      <w:pPr>
        <w:spacing w:after="0" w:line="241" w:lineRule="exact"/>
        <w:rPr>
          <w:sz w:val="24"/>
          <w:szCs w:val="24"/>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2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Bu Yönerge; Hava Ulaştırma Fakültesi Pilotaj Bölümü hariç, Türk Hava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Kurumu Üniversitesi’nin lisans programlarında öğrenim gören öğrencilerin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anlayışıyla daha iyi yetiştirilmeleri için kamu veya özel sektör işyerlerinde belirli sürelerde yapacakları eğitim </w:t>
      </w:r>
      <w:r>
        <w:rPr>
          <w:rFonts w:ascii="Times New Roman" w:cs="Times New Roman" w:eastAsia="Times New Roman" w:hAnsi="Times New Roman"/>
          <w:sz w:val="22"/>
          <w:szCs w:val="22"/>
          <w:color w:val="auto"/>
        </w:rPr>
        <w:t>ve</w:t>
      </w:r>
      <w:r>
        <w:rPr>
          <w:rFonts w:ascii="Times New Roman" w:cs="Times New Roman" w:eastAsia="Times New Roman" w:hAnsi="Times New Roman"/>
          <w:sz w:val="22"/>
          <w:szCs w:val="22"/>
          <w:color w:val="auto"/>
        </w:rPr>
        <w:t xml:space="preserve"> mesleki uygulamalarla ilgili gerekli kuralları ve esasları kapsar.</w:t>
      </w:r>
    </w:p>
    <w:p>
      <w:pPr>
        <w:spacing w:after="0" w:line="210"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Dayanak</w:t>
      </w:r>
    </w:p>
    <w:p>
      <w:pPr>
        <w:spacing w:after="0" w:line="241" w:lineRule="exact"/>
        <w:rPr>
          <w:sz w:val="24"/>
          <w:szCs w:val="24"/>
          <w:color w:val="auto"/>
        </w:rPr>
      </w:pPr>
    </w:p>
    <w:p>
      <w:pPr>
        <w:jc w:val="both"/>
        <w:ind w:firstLine="70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MADDE 3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Bu Yönerge; 24/07/2011 tarihli ve 28004 sayılı Resmi Gazete’de yayımlanan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Türk Hava Kurumu Üniversitesi Ön Lisans ve Lisans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Öğretim ve Sınav Yönetmeliği’nin </w:t>
      </w:r>
      <w:r>
        <w:rPr>
          <w:rFonts w:ascii="Times New Roman" w:cs="Times New Roman" w:eastAsia="Times New Roman" w:hAnsi="Times New Roman"/>
          <w:sz w:val="22"/>
          <w:szCs w:val="22"/>
          <w:color w:val="auto"/>
        </w:rPr>
        <w:t>42.</w:t>
      </w:r>
      <w:r>
        <w:rPr>
          <w:rFonts w:ascii="Times New Roman" w:cs="Times New Roman" w:eastAsia="Times New Roman" w:hAnsi="Times New Roman"/>
          <w:sz w:val="22"/>
          <w:szCs w:val="22"/>
          <w:color w:val="auto"/>
        </w:rPr>
        <w:t xml:space="preserve"> maddesine dayanılarak hazırlanmıştır.</w:t>
      </w:r>
    </w:p>
    <w:p>
      <w:pPr>
        <w:spacing w:after="0" w:line="209"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Tanımlar</w:t>
      </w:r>
    </w:p>
    <w:p>
      <w:pPr>
        <w:spacing w:after="0" w:line="234" w:lineRule="exact"/>
        <w:rPr>
          <w:sz w:val="24"/>
          <w:szCs w:val="24"/>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MADDE 4 </w:t>
      </w:r>
      <w:r>
        <w:rPr>
          <w:rFonts w:ascii="Times New Roman" w:cs="Times New Roman" w:eastAsia="Times New Roman" w:hAnsi="Times New Roman"/>
          <w:sz w:val="22"/>
          <w:szCs w:val="22"/>
          <w:color w:val="auto"/>
        </w:rPr>
        <w:t>– (1) Bu Yönergede geçen;</w:t>
      </w:r>
    </w:p>
    <w:p>
      <w:pPr>
        <w:spacing w:after="0" w:line="234" w:lineRule="exact"/>
        <w:rPr>
          <w:sz w:val="24"/>
          <w:szCs w:val="24"/>
          <w:color w:val="auto"/>
        </w:rPr>
      </w:pPr>
    </w:p>
    <w:p>
      <w:pPr>
        <w:ind w:left="1000" w:hanging="231"/>
        <w:spacing w:after="0"/>
        <w:tabs>
          <w:tab w:leader="none" w:pos="100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Bölüm: Türk Hava Kurumu Üniversitesi bünyesindeki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 xml:space="preserve">akültelerin </w:t>
      </w:r>
      <w:r>
        <w:rPr>
          <w:rFonts w:ascii="Times New Roman" w:cs="Times New Roman" w:eastAsia="Times New Roman" w:hAnsi="Times New Roman"/>
          <w:sz w:val="22"/>
          <w:szCs w:val="22"/>
          <w:color w:val="auto"/>
        </w:rPr>
        <w:t>b</w:t>
      </w:r>
      <w:r>
        <w:rPr>
          <w:rFonts w:ascii="Times New Roman" w:cs="Times New Roman" w:eastAsia="Times New Roman" w:hAnsi="Times New Roman"/>
          <w:sz w:val="22"/>
          <w:szCs w:val="22"/>
          <w:color w:val="auto"/>
        </w:rPr>
        <w:t>ölümlerini,</w:t>
      </w:r>
    </w:p>
    <w:p>
      <w:pPr>
        <w:spacing w:after="0" w:line="48" w:lineRule="exact"/>
        <w:rPr>
          <w:rFonts w:ascii="Times New Roman" w:cs="Times New Roman" w:eastAsia="Times New Roman" w:hAnsi="Times New Roman"/>
          <w:sz w:val="22"/>
          <w:szCs w:val="22"/>
          <w:color w:val="auto"/>
        </w:rPr>
      </w:pPr>
    </w:p>
    <w:p>
      <w:pPr>
        <w:ind w:right="20" w:firstLine="769"/>
        <w:spacing w:after="0" w:line="266" w:lineRule="auto"/>
        <w:tabs>
          <w:tab w:leader="none" w:pos="994"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Bölüm Tümleşik Eğitim Komisyonu: Türk Hava Kurumu Üniversitesi bünyesindeki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akültelerin</w:t>
      </w:r>
      <w:r>
        <w:rPr>
          <w:rFonts w:ascii="Times New Roman" w:cs="Times New Roman" w:eastAsia="Times New Roman" w:hAnsi="Times New Roman"/>
          <w:sz w:val="22"/>
          <w:szCs w:val="22"/>
          <w:color w:val="auto"/>
        </w:rPr>
        <w:t xml:space="preserve"> b</w:t>
      </w:r>
      <w:r>
        <w:rPr>
          <w:rFonts w:ascii="Times New Roman" w:cs="Times New Roman" w:eastAsia="Times New Roman" w:hAnsi="Times New Roman"/>
          <w:sz w:val="22"/>
          <w:szCs w:val="22"/>
          <w:color w:val="auto"/>
        </w:rPr>
        <w:t>ölüm Tümleşik Eğitim Komisyonlarını,</w:t>
      </w:r>
    </w:p>
    <w:p>
      <w:pPr>
        <w:spacing w:after="0" w:line="10" w:lineRule="exact"/>
        <w:rPr>
          <w:rFonts w:ascii="Times New Roman" w:cs="Times New Roman" w:eastAsia="Times New Roman" w:hAnsi="Times New Roman"/>
          <w:sz w:val="22"/>
          <w:szCs w:val="22"/>
          <w:color w:val="auto"/>
        </w:rPr>
      </w:pPr>
    </w:p>
    <w:p>
      <w:pPr>
        <w:ind w:left="1000" w:hanging="231"/>
        <w:spacing w:after="0"/>
        <w:tabs>
          <w:tab w:leader="none" w:pos="100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Fakülte: Türk Hava Kurumu Üniversitesi bünyesindeki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akülteleri,</w:t>
      </w:r>
    </w:p>
    <w:p>
      <w:pPr>
        <w:spacing w:after="0" w:line="49" w:lineRule="exact"/>
        <w:rPr>
          <w:sz w:val="24"/>
          <w:szCs w:val="24"/>
          <w:color w:val="auto"/>
        </w:rPr>
      </w:pPr>
    </w:p>
    <w:p>
      <w:pPr>
        <w:ind w:firstLine="773"/>
        <w:spacing w:after="0" w:line="264" w:lineRule="auto"/>
        <w:rPr>
          <w:sz w:val="20"/>
          <w:szCs w:val="20"/>
          <w:color w:val="auto"/>
        </w:rPr>
      </w:pPr>
      <w:r>
        <w:rPr>
          <w:rFonts w:ascii="Times New Roman" w:cs="Times New Roman" w:eastAsia="Times New Roman" w:hAnsi="Times New Roman"/>
          <w:sz w:val="22"/>
          <w:szCs w:val="22"/>
          <w:color w:val="auto"/>
        </w:rPr>
        <w:t xml:space="preserve">ç) </w:t>
      </w:r>
      <w:r>
        <w:rPr>
          <w:rFonts w:ascii="Times New Roman" w:cs="Times New Roman" w:eastAsia="Times New Roman" w:hAnsi="Times New Roman"/>
          <w:sz w:val="22"/>
          <w:szCs w:val="22"/>
          <w:color w:val="auto"/>
        </w:rPr>
        <w:t>Fa</w:t>
      </w:r>
      <w:r>
        <w:rPr>
          <w:rFonts w:ascii="Times New Roman" w:cs="Times New Roman" w:eastAsia="Times New Roman" w:hAnsi="Times New Roman"/>
          <w:sz w:val="22"/>
          <w:szCs w:val="22"/>
          <w:color w:val="auto"/>
        </w:rPr>
        <w:t xml:space="preserve">külte Tümleşik Eğitim Komisyonu: Türk Hava Kurumu Üniversitesi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akülte Tümleşik Eğitim Komisyonlarını,</w:t>
      </w:r>
    </w:p>
    <w:p>
      <w:pPr>
        <w:spacing w:after="0" w:line="16" w:lineRule="exact"/>
        <w:rPr>
          <w:sz w:val="24"/>
          <w:szCs w:val="24"/>
          <w:color w:val="auto"/>
        </w:rPr>
      </w:pPr>
    </w:p>
    <w:p>
      <w:pPr>
        <w:ind w:left="1000" w:hanging="231"/>
        <w:spacing w:after="0"/>
        <w:tabs>
          <w:tab w:leader="none" w:pos="10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Koordinatörü: Tümleşik Eğitim Koordinatörlüğü sorumlusunu</w:t>
      </w:r>
    </w:p>
    <w:p>
      <w:pPr>
        <w:spacing w:after="0" w:line="37" w:lineRule="exact"/>
        <w:rPr>
          <w:rFonts w:ascii="Times New Roman" w:cs="Times New Roman" w:eastAsia="Times New Roman" w:hAnsi="Times New Roman"/>
          <w:sz w:val="22"/>
          <w:szCs w:val="22"/>
          <w:color w:val="auto"/>
        </w:rPr>
      </w:pPr>
    </w:p>
    <w:p>
      <w:pPr>
        <w:ind w:left="1000" w:hanging="231"/>
        <w:spacing w:after="0"/>
        <w:tabs>
          <w:tab w:leader="none" w:pos="100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 Türk Hava Kurumu Üniversitesi Rektörünü,</w:t>
      </w:r>
    </w:p>
    <w:p>
      <w:pPr>
        <w:spacing w:after="0" w:line="48" w:lineRule="exact"/>
        <w:rPr>
          <w:rFonts w:ascii="Times New Roman" w:cs="Times New Roman" w:eastAsia="Times New Roman" w:hAnsi="Times New Roman"/>
          <w:sz w:val="22"/>
          <w:szCs w:val="22"/>
          <w:color w:val="auto"/>
        </w:rPr>
      </w:pPr>
    </w:p>
    <w:p>
      <w:pPr>
        <w:jc w:val="both"/>
        <w:ind w:firstLine="769"/>
        <w:spacing w:after="0" w:line="270" w:lineRule="auto"/>
        <w:tabs>
          <w:tab w:leader="none" w:pos="99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Eğitim: Türk Hava Kurumu Üniversitesi bünyesindeki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akültelerde öğrenim gören öğrencilerin, kamu veya özel sektör işyerlerinde belirli sürelerde yapacakları eğitim ve mesleki uygulamaları,</w:t>
      </w:r>
    </w:p>
    <w:p>
      <w:pPr>
        <w:spacing w:after="0" w:line="19" w:lineRule="exact"/>
        <w:rPr>
          <w:rFonts w:ascii="Times New Roman" w:cs="Times New Roman" w:eastAsia="Times New Roman" w:hAnsi="Times New Roman"/>
          <w:sz w:val="22"/>
          <w:szCs w:val="22"/>
          <w:color w:val="auto"/>
        </w:rPr>
      </w:pPr>
    </w:p>
    <w:p>
      <w:pPr>
        <w:ind w:right="20" w:firstLine="769"/>
        <w:spacing w:after="0" w:line="264" w:lineRule="auto"/>
        <w:tabs>
          <w:tab w:leader="none" w:pos="994"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Eğitim Yeri: Öğrencinin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yapacağı/yaptığı kamu ve özel kuruluşlara ait işyerlerini,</w:t>
      </w:r>
    </w:p>
    <w:p>
      <w:pPr>
        <w:spacing w:after="0" w:line="15" w:lineRule="exact"/>
        <w:rPr>
          <w:rFonts w:ascii="Times New Roman" w:cs="Times New Roman" w:eastAsia="Times New Roman" w:hAnsi="Times New Roman"/>
          <w:sz w:val="22"/>
          <w:szCs w:val="22"/>
          <w:color w:val="auto"/>
        </w:rPr>
      </w:pPr>
    </w:p>
    <w:p>
      <w:pPr>
        <w:ind w:left="7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ğ) Üniversite: Türk Hava Kurumu Üniversitesi’ni </w:t>
      </w:r>
      <w:r>
        <w:rPr>
          <w:rFonts w:ascii="Times New Roman" w:cs="Times New Roman" w:eastAsia="Times New Roman" w:hAnsi="Times New Roman"/>
          <w:sz w:val="22"/>
          <w:szCs w:val="22"/>
          <w:color w:val="auto"/>
        </w:rPr>
        <w:t>ifade etmektedir.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jc w:val="center"/>
        <w:spacing w:after="0"/>
        <w:rPr>
          <w:sz w:val="20"/>
          <w:szCs w:val="20"/>
          <w:color w:val="auto"/>
        </w:rPr>
      </w:pPr>
      <w:r>
        <w:rPr>
          <w:rFonts w:ascii="Calibri" w:cs="Calibri" w:eastAsia="Calibri" w:hAnsi="Calibri"/>
          <w:sz w:val="22"/>
          <w:szCs w:val="22"/>
          <w:color w:val="auto"/>
        </w:rPr>
        <w:t>1</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28" w:right="1406" w:bottom="0"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22"/>
          <w:szCs w:val="22"/>
          <w:b w:val="1"/>
          <w:bCs w:val="1"/>
          <w:color w:val="auto"/>
        </w:rPr>
        <w:t>İKİNCİ BÖLÜM</w:t>
      </w: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Tümleşik Eğitimin Amacı, Fakülte Tümleşik Eğitim Komisyonu, Bölüm Tümleşik</w:t>
      </w:r>
    </w:p>
    <w:p>
      <w:pPr>
        <w:spacing w:after="0" w:line="248" w:lineRule="exact"/>
        <w:rPr>
          <w:sz w:val="20"/>
          <w:szCs w:val="20"/>
          <w:color w:val="auto"/>
        </w:rPr>
      </w:pPr>
    </w:p>
    <w:p>
      <w:pPr>
        <w:ind w:left="700" w:right="1700" w:firstLine="989"/>
        <w:spacing w:after="0" w:line="455" w:lineRule="auto"/>
        <w:rPr>
          <w:sz w:val="20"/>
          <w:szCs w:val="20"/>
          <w:color w:val="auto"/>
        </w:rPr>
      </w:pPr>
      <w:r>
        <w:rPr>
          <w:rFonts w:ascii="Times New Roman" w:cs="Times New Roman" w:eastAsia="Times New Roman" w:hAnsi="Times New Roman"/>
          <w:sz w:val="22"/>
          <w:szCs w:val="22"/>
          <w:b w:val="1"/>
          <w:bCs w:val="1"/>
          <w:color w:val="auto"/>
        </w:rPr>
        <w:t>Eğitim Komisyonu ve Tümleşik Eğitim ile İlgili Dokümanlar Tümleşik Eğitimin Amacı</w:t>
      </w:r>
    </w:p>
    <w:p>
      <w:pPr>
        <w:spacing w:after="0" w:line="15"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Öğrencilerin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öğrenim süreleri içinde kazandıkları teorik bilgi ve deneyimlerini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pekiştirmek, laboratuvar ve atölye uygulamalarında edindikleri beceri ve deneyimlerini geliştirmek, görev yapacakları iş yerlerindeki sorumluluklarını, ilişkileri, organizasyon ve üretim sürecini ve yeni teknolojileri tanımalarını sağlamaktır.</w:t>
      </w:r>
    </w:p>
    <w:p>
      <w:pPr>
        <w:spacing w:after="0" w:line="2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Koordinatörü</w:t>
      </w:r>
    </w:p>
    <w:p>
      <w:pPr>
        <w:spacing w:after="0" w:line="242" w:lineRule="exact"/>
        <w:rPr>
          <w:sz w:val="20"/>
          <w:szCs w:val="20"/>
          <w:color w:val="auto"/>
        </w:rPr>
      </w:pPr>
    </w:p>
    <w:p>
      <w:pPr>
        <w:jc w:val="both"/>
        <w:ind w:right="20" w:firstLine="70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MADDE 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(1) </w:t>
      </w:r>
      <w:r>
        <w:rPr>
          <w:rFonts w:ascii="Times New Roman" w:cs="Times New Roman" w:eastAsia="Times New Roman" w:hAnsi="Times New Roman"/>
          <w:sz w:val="22"/>
          <w:szCs w:val="22"/>
          <w:color w:val="auto"/>
        </w:rPr>
        <w:t>Tümleşik Eğitim Koordinatörü işyeri uygulamasının eksiksiz olarak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yürütülmesi için gerekli önlemleri alır.</w:t>
      </w:r>
    </w:p>
    <w:p>
      <w:pPr>
        <w:spacing w:after="0" w:line="213" w:lineRule="exact"/>
        <w:rPr>
          <w:sz w:val="20"/>
          <w:szCs w:val="20"/>
          <w:color w:val="auto"/>
        </w:rPr>
      </w:pPr>
    </w:p>
    <w:p>
      <w:pPr>
        <w:ind w:left="1020" w:hanging="316"/>
        <w:spacing w:after="0"/>
        <w:tabs>
          <w:tab w:leader="none" w:pos="1020"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Koordinatörünün görevleri şunlardır:</w:t>
      </w:r>
    </w:p>
    <w:p>
      <w:pPr>
        <w:spacing w:after="0" w:line="245" w:lineRule="exact"/>
        <w:rPr>
          <w:rFonts w:ascii="Times New Roman" w:cs="Times New Roman" w:eastAsia="Times New Roman" w:hAnsi="Times New Roman"/>
          <w:sz w:val="22"/>
          <w:szCs w:val="22"/>
          <w:color w:val="auto"/>
        </w:rPr>
      </w:pPr>
    </w:p>
    <w:p>
      <w:pPr>
        <w:ind w:right="20" w:firstLine="913"/>
        <w:spacing w:after="0" w:line="266" w:lineRule="auto"/>
        <w:tabs>
          <w:tab w:leader="none" w:pos="1133"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yapılacak birimleri ve bu birimlerdeki çalışma sürelerini kuruluş yetkilileri ile işbirliği içerisinde belirler.</w:t>
      </w:r>
    </w:p>
    <w:p>
      <w:pPr>
        <w:spacing w:after="0" w:line="22" w:lineRule="exact"/>
        <w:rPr>
          <w:rFonts w:ascii="Times New Roman" w:cs="Times New Roman" w:eastAsia="Times New Roman" w:hAnsi="Times New Roman"/>
          <w:sz w:val="22"/>
          <w:szCs w:val="22"/>
          <w:color w:val="auto"/>
        </w:rPr>
      </w:pPr>
    </w:p>
    <w:p>
      <w:pPr>
        <w:ind w:right="20" w:firstLine="913"/>
        <w:spacing w:after="0" w:line="264" w:lineRule="auto"/>
        <w:tabs>
          <w:tab w:leader="none" w:pos="1133"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yapacak her öğrencinin işyeri başlangıç ve bitiş t</w:t>
      </w:r>
      <w:r>
        <w:rPr>
          <w:rFonts w:ascii="Times New Roman" w:cs="Times New Roman" w:eastAsia="Times New Roman" w:hAnsi="Times New Roman"/>
          <w:sz w:val="22"/>
          <w:szCs w:val="22"/>
          <w:color w:val="auto"/>
        </w:rPr>
        <w:t>arihlerini akademik</w:t>
      </w:r>
      <w:r>
        <w:rPr>
          <w:rFonts w:ascii="Times New Roman" w:cs="Times New Roman" w:eastAsia="Times New Roman" w:hAnsi="Times New Roman"/>
          <w:sz w:val="22"/>
          <w:szCs w:val="22"/>
          <w:color w:val="auto"/>
        </w:rPr>
        <w:t xml:space="preserve"> takvime ve kuruluşun taleplerine bağlı olarak öğrenci ile birlikte belirler.</w:t>
      </w:r>
    </w:p>
    <w:p>
      <w:pPr>
        <w:spacing w:after="0" w:line="12" w:lineRule="exact"/>
        <w:rPr>
          <w:rFonts w:ascii="Times New Roman" w:cs="Times New Roman" w:eastAsia="Times New Roman" w:hAnsi="Times New Roman"/>
          <w:sz w:val="22"/>
          <w:szCs w:val="22"/>
          <w:color w:val="auto"/>
        </w:rPr>
      </w:pPr>
    </w:p>
    <w:p>
      <w:pPr>
        <w:ind w:left="1120" w:hanging="207"/>
        <w:spacing w:after="0"/>
        <w:tabs>
          <w:tab w:leader="none" w:pos="1120" w:val="left"/>
        </w:tabs>
        <w:numPr>
          <w:ilvl w:val="1"/>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ile ilgili resmi yazışmaları yürütür.</w:t>
      </w:r>
    </w:p>
    <w:p>
      <w:pPr>
        <w:spacing w:after="0" w:line="40"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2"/>
          <w:szCs w:val="22"/>
          <w:color w:val="auto"/>
        </w:rPr>
        <w:t>ç) İşyerlerinde uygulamaların düzgün gerçekleştirildiğinin kontrolünü yapar.</w:t>
      </w:r>
    </w:p>
    <w:p>
      <w:pPr>
        <w:spacing w:after="0" w:line="40" w:lineRule="exact"/>
        <w:rPr>
          <w:sz w:val="20"/>
          <w:szCs w:val="20"/>
          <w:color w:val="auto"/>
        </w:rPr>
      </w:pPr>
    </w:p>
    <w:p>
      <w:pPr>
        <w:ind w:left="1120" w:hanging="207"/>
        <w:spacing w:after="0"/>
        <w:tabs>
          <w:tab w:leader="none" w:pos="112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Fakülte Tümleşik Eğitim Komisyonlarından gelen raporları derleyip rektörlüğe sunar.</w:t>
      </w:r>
    </w:p>
    <w:p>
      <w:pPr>
        <w:spacing w:after="0" w:line="24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Fakülte Tümleşik Eğitim Komisyonu</w:t>
      </w:r>
    </w:p>
    <w:p>
      <w:pPr>
        <w:spacing w:after="0" w:line="243" w:lineRule="exact"/>
        <w:rPr>
          <w:sz w:val="20"/>
          <w:szCs w:val="20"/>
          <w:color w:val="auto"/>
        </w:rPr>
      </w:pPr>
    </w:p>
    <w:p>
      <w:pPr>
        <w:jc w:val="both"/>
        <w:ind w:firstLine="708"/>
        <w:spacing w:after="0" w:line="290" w:lineRule="auto"/>
        <w:rPr>
          <w:sz w:val="20"/>
          <w:szCs w:val="20"/>
          <w:color w:val="auto"/>
        </w:rPr>
      </w:pPr>
      <w:r>
        <w:rPr>
          <w:rFonts w:ascii="Times New Roman" w:cs="Times New Roman" w:eastAsia="Times New Roman" w:hAnsi="Times New Roman"/>
          <w:sz w:val="21"/>
          <w:szCs w:val="21"/>
          <w:b w:val="1"/>
          <w:bCs w:val="1"/>
          <w:color w:val="auto"/>
        </w:rPr>
        <w:t xml:space="preserve">MADDE 7 </w:t>
      </w:r>
      <w:r>
        <w:rPr>
          <w:rFonts w:ascii="Times New Roman" w:cs="Times New Roman" w:eastAsia="Times New Roman" w:hAnsi="Times New Roman"/>
          <w:sz w:val="21"/>
          <w:szCs w:val="21"/>
          <w:color w:val="auto"/>
        </w:rPr>
        <w:t>– (1) Fakülte Tümleşik Eğitim Komisyonu, öğren</w:t>
      </w:r>
      <w:r>
        <w:rPr>
          <w:rFonts w:ascii="Times New Roman" w:cs="Times New Roman" w:eastAsia="Times New Roman" w:hAnsi="Times New Roman"/>
          <w:sz w:val="21"/>
          <w:szCs w:val="21"/>
          <w:color w:val="auto"/>
        </w:rPr>
        <w:t>cilerin t</w:t>
      </w:r>
      <w:r>
        <w:rPr>
          <w:rFonts w:ascii="Times New Roman" w:cs="Times New Roman" w:eastAsia="Times New Roman" w:hAnsi="Times New Roman"/>
          <w:sz w:val="21"/>
          <w:szCs w:val="21"/>
          <w:color w:val="auto"/>
        </w:rPr>
        <w:t>ümleşik</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işlemlerini</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yürütmek ve değerlendirmek üzere ilgili </w:t>
      </w:r>
      <w:r>
        <w:rPr>
          <w:rFonts w:ascii="Times New Roman" w:cs="Times New Roman" w:eastAsia="Times New Roman" w:hAnsi="Times New Roman"/>
          <w:sz w:val="21"/>
          <w:szCs w:val="21"/>
          <w:color w:val="auto"/>
        </w:rPr>
        <w:t>f</w:t>
      </w:r>
      <w:r>
        <w:rPr>
          <w:rFonts w:ascii="Times New Roman" w:cs="Times New Roman" w:eastAsia="Times New Roman" w:hAnsi="Times New Roman"/>
          <w:sz w:val="21"/>
          <w:szCs w:val="21"/>
          <w:color w:val="auto"/>
        </w:rPr>
        <w:t xml:space="preserve">akülte Dekanının </w:t>
      </w:r>
      <w:r>
        <w:rPr>
          <w:rFonts w:ascii="Times New Roman" w:cs="Times New Roman" w:eastAsia="Times New Roman" w:hAnsi="Times New Roman"/>
          <w:sz w:val="21"/>
          <w:szCs w:val="21"/>
          <w:color w:val="auto"/>
        </w:rPr>
        <w:t>b</w:t>
      </w:r>
      <w:r>
        <w:rPr>
          <w:rFonts w:ascii="Times New Roman" w:cs="Times New Roman" w:eastAsia="Times New Roman" w:hAnsi="Times New Roman"/>
          <w:sz w:val="21"/>
          <w:szCs w:val="21"/>
          <w:color w:val="auto"/>
        </w:rPr>
        <w:t>aşkanlığında bölü</w:t>
      </w:r>
      <w:r>
        <w:rPr>
          <w:rFonts w:ascii="Times New Roman" w:cs="Times New Roman" w:eastAsia="Times New Roman" w:hAnsi="Times New Roman"/>
          <w:sz w:val="21"/>
          <w:szCs w:val="21"/>
          <w:color w:val="auto"/>
        </w:rPr>
        <w:t>m b</w:t>
      </w:r>
      <w:r>
        <w:rPr>
          <w:rFonts w:ascii="Times New Roman" w:cs="Times New Roman" w:eastAsia="Times New Roman" w:hAnsi="Times New Roman"/>
          <w:sz w:val="21"/>
          <w:szCs w:val="21"/>
          <w:color w:val="auto"/>
        </w:rPr>
        <w:t>aşkanlarından oluşur.</w:t>
      </w:r>
    </w:p>
    <w:p>
      <w:pPr>
        <w:spacing w:after="0" w:line="199" w:lineRule="exact"/>
        <w:rPr>
          <w:sz w:val="20"/>
          <w:szCs w:val="20"/>
          <w:color w:val="auto"/>
        </w:rPr>
      </w:pPr>
    </w:p>
    <w:p>
      <w:pPr>
        <w:ind w:right="20" w:firstLine="704"/>
        <w:spacing w:after="0" w:line="266" w:lineRule="auto"/>
        <w:tabs>
          <w:tab w:leader="none" w:pos="105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Fakülte Tümleşik Eğitim Komisyonu her öğretim yılı sonunda Tümleşik Eğitim Raporu hazırlayıp, Tümleşik Eğitim Koordinatörüne gönderir.</w:t>
      </w:r>
    </w:p>
    <w:p>
      <w:pPr>
        <w:spacing w:after="0" w:line="215"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Bölüm Tümleşik Eğitim Komisyonu</w:t>
      </w:r>
    </w:p>
    <w:p>
      <w:pPr>
        <w:spacing w:after="0" w:line="243" w:lineRule="exact"/>
        <w:rPr>
          <w:sz w:val="20"/>
          <w:szCs w:val="20"/>
          <w:color w:val="auto"/>
        </w:rPr>
      </w:pPr>
    </w:p>
    <w:p>
      <w:pPr>
        <w:jc w:val="both"/>
        <w:ind w:right="20" w:firstLine="708"/>
        <w:spacing w:after="0" w:line="271" w:lineRule="auto"/>
        <w:rPr>
          <w:sz w:val="20"/>
          <w:szCs w:val="20"/>
          <w:color w:val="auto"/>
        </w:rPr>
      </w:pPr>
      <w:r>
        <w:rPr>
          <w:rFonts w:ascii="Times New Roman" w:cs="Times New Roman" w:eastAsia="Times New Roman" w:hAnsi="Times New Roman"/>
          <w:sz w:val="22"/>
          <w:szCs w:val="22"/>
          <w:b w:val="1"/>
          <w:bCs w:val="1"/>
          <w:color w:val="auto"/>
        </w:rPr>
        <w:t xml:space="preserve">MADDE 8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Her b</w:t>
      </w:r>
      <w:r>
        <w:rPr>
          <w:rFonts w:ascii="Times New Roman" w:cs="Times New Roman" w:eastAsia="Times New Roman" w:hAnsi="Times New Roman"/>
          <w:sz w:val="22"/>
          <w:szCs w:val="22"/>
          <w:color w:val="auto"/>
        </w:rPr>
        <w:t>ölümde öğrencilerin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çalışmalarını düzenlemek 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yürütmek üzere Bölüm Tümleşik Eğitim Komisyonu kurulur. Bölüm Tümleşik Eğitim Komisyonu, Bölüm Başkanlığı tarafından görevlendirilen öğretim elemanlarından oluşur.</w:t>
      </w:r>
    </w:p>
    <w:p>
      <w:pPr>
        <w:spacing w:after="0" w:line="20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(2) Komisyonun görevleri;</w:t>
      </w:r>
    </w:p>
    <w:p>
      <w:pPr>
        <w:spacing w:after="0" w:line="237" w:lineRule="exact"/>
        <w:rPr>
          <w:sz w:val="20"/>
          <w:szCs w:val="20"/>
          <w:color w:val="auto"/>
        </w:rPr>
      </w:pPr>
    </w:p>
    <w:p>
      <w:pPr>
        <w:ind w:left="1120" w:hanging="351"/>
        <w:spacing w:after="0"/>
        <w:tabs>
          <w:tab w:leader="none" w:pos="112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çalışması ile ilgili ön hazırlıkları yapmak,</w:t>
      </w:r>
    </w:p>
    <w:p>
      <w:pPr>
        <w:spacing w:after="0" w:line="48" w:lineRule="exact"/>
        <w:rPr>
          <w:rFonts w:ascii="Times New Roman" w:cs="Times New Roman" w:eastAsia="Times New Roman" w:hAnsi="Times New Roman"/>
          <w:sz w:val="22"/>
          <w:szCs w:val="22"/>
          <w:color w:val="auto"/>
        </w:rPr>
      </w:pPr>
    </w:p>
    <w:p>
      <w:pPr>
        <w:ind w:left="1120" w:hanging="351"/>
        <w:spacing w:after="0"/>
        <w:tabs>
          <w:tab w:leader="none" w:pos="1120" w:val="left"/>
        </w:tabs>
        <w:numPr>
          <w:ilvl w:val="0"/>
          <w:numId w:val="6"/>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Kamu kesiminden ve özel sektörden </w:t>
      </w:r>
      <w:r>
        <w:rPr>
          <w:rFonts w:ascii="Times New Roman" w:cs="Times New Roman" w:eastAsia="Times New Roman" w:hAnsi="Times New Roman"/>
          <w:sz w:val="21"/>
          <w:szCs w:val="21"/>
          <w:color w:val="auto"/>
        </w:rPr>
        <w:t>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yerleri sağlanmasına yardımcı olmak,</w:t>
      </w:r>
    </w:p>
    <w:p>
      <w:pPr>
        <w:spacing w:after="0" w:line="37" w:lineRule="exact"/>
        <w:rPr>
          <w:rFonts w:ascii="Times New Roman" w:cs="Times New Roman" w:eastAsia="Times New Roman" w:hAnsi="Times New Roman"/>
          <w:sz w:val="21"/>
          <w:szCs w:val="21"/>
          <w:color w:val="auto"/>
        </w:rPr>
      </w:pPr>
    </w:p>
    <w:p>
      <w:pPr>
        <w:ind w:left="1120" w:hanging="351"/>
        <w:spacing w:after="0"/>
        <w:tabs>
          <w:tab w:leader="none" w:pos="112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için başvuran öğrencilerin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yerlerine dağılımını yapmak,</w:t>
      </w:r>
    </w:p>
    <w:p>
      <w:pPr>
        <w:spacing w:after="0" w:line="37" w:lineRule="exact"/>
        <w:rPr>
          <w:sz w:val="20"/>
          <w:szCs w:val="20"/>
          <w:color w:val="auto"/>
        </w:rPr>
      </w:pPr>
    </w:p>
    <w:p>
      <w:pPr>
        <w:ind w:left="760"/>
        <w:spacing w:after="0"/>
        <w:tabs>
          <w:tab w:leader="none" w:pos="1100" w:val="left"/>
        </w:tabs>
        <w:rPr>
          <w:sz w:val="20"/>
          <w:szCs w:val="20"/>
          <w:color w:val="auto"/>
        </w:rPr>
      </w:pPr>
      <w:r>
        <w:rPr>
          <w:rFonts w:ascii="Times New Roman" w:cs="Times New Roman" w:eastAsia="Times New Roman" w:hAnsi="Times New Roman"/>
          <w:sz w:val="22"/>
          <w:szCs w:val="22"/>
          <w:color w:val="auto"/>
        </w:rPr>
        <w:t>ç)</w:t>
        <w:tab/>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ile ilgili programları ve esasları belirlemek,</w:t>
      </w:r>
    </w:p>
    <w:p>
      <w:pPr>
        <w:spacing w:after="0" w:line="37" w:lineRule="exact"/>
        <w:rPr>
          <w:sz w:val="20"/>
          <w:szCs w:val="20"/>
          <w:color w:val="auto"/>
        </w:rPr>
      </w:pPr>
    </w:p>
    <w:p>
      <w:pPr>
        <w:ind w:left="1120" w:hanging="351"/>
        <w:spacing w:after="0"/>
        <w:tabs>
          <w:tab w:leader="none" w:pos="112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Gelen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dosyalarını incelemek ve değerlendirmek,</w:t>
      </w:r>
    </w:p>
    <w:p>
      <w:pPr>
        <w:spacing w:after="0" w:line="39" w:lineRule="exact"/>
        <w:rPr>
          <w:rFonts w:ascii="Times New Roman" w:cs="Times New Roman" w:eastAsia="Times New Roman" w:hAnsi="Times New Roman"/>
          <w:sz w:val="22"/>
          <w:szCs w:val="22"/>
          <w:color w:val="auto"/>
        </w:rPr>
      </w:pPr>
    </w:p>
    <w:p>
      <w:pPr>
        <w:ind w:left="1120" w:hanging="351"/>
        <w:spacing w:after="0"/>
        <w:tabs>
          <w:tab w:leader="none" w:pos="112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ğitimini başarı ile tamamlamış öğrencileri</w:t>
      </w:r>
      <w:r>
        <w:rPr>
          <w:rFonts w:ascii="Times New Roman" w:cs="Times New Roman" w:eastAsia="Times New Roman" w:hAnsi="Times New Roman"/>
          <w:sz w:val="22"/>
          <w:szCs w:val="22"/>
          <w:color w:val="auto"/>
        </w:rPr>
        <w:t>n isimlerini F</w:t>
      </w:r>
      <w:r>
        <w:rPr>
          <w:rFonts w:ascii="Times New Roman" w:cs="Times New Roman" w:eastAsia="Times New Roman" w:hAnsi="Times New Roman"/>
          <w:sz w:val="22"/>
          <w:szCs w:val="22"/>
          <w:color w:val="auto"/>
        </w:rPr>
        <w:t>akülte Tümleşik Eğitim</w:t>
      </w:r>
    </w:p>
    <w:p>
      <w:pPr>
        <w:spacing w:after="0" w:line="39" w:lineRule="exact"/>
        <w:rPr>
          <w:rFonts w:ascii="Times New Roman" w:cs="Times New Roman" w:eastAsia="Times New Roman" w:hAnsi="Times New Roman"/>
          <w:sz w:val="22"/>
          <w:szCs w:val="22"/>
          <w:color w:val="auto"/>
        </w:rPr>
      </w:pPr>
    </w:p>
    <w:p>
      <w:pPr>
        <w:ind w:left="112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Komisyonuna bildirmek.</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0" w:right="1406" w:bottom="0" w:gutter="0" w:footer="0" w:header="0"/>
        </w:sectPr>
      </w:pPr>
    </w:p>
    <w:bookmarkStart w:id="2" w:name="page3"/>
    <w:bookmarkEnd w:id="2"/>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ile İlgili Dokümanlar</w:t>
      </w:r>
    </w:p>
    <w:p>
      <w:pPr>
        <w:spacing w:after="0" w:line="244" w:lineRule="exact"/>
        <w:rPr>
          <w:sz w:val="20"/>
          <w:szCs w:val="20"/>
          <w:color w:val="auto"/>
        </w:rPr>
      </w:pPr>
    </w:p>
    <w:p>
      <w:pPr>
        <w:ind w:right="20" w:firstLine="708"/>
        <w:spacing w:after="0" w:line="266" w:lineRule="auto"/>
        <w:rPr>
          <w:sz w:val="20"/>
          <w:szCs w:val="20"/>
          <w:color w:val="auto"/>
        </w:rPr>
      </w:pPr>
      <w:r>
        <w:rPr>
          <w:rFonts w:ascii="Times New Roman" w:cs="Times New Roman" w:eastAsia="Times New Roman" w:hAnsi="Times New Roman"/>
          <w:sz w:val="22"/>
          <w:szCs w:val="22"/>
          <w:b w:val="1"/>
          <w:bCs w:val="1"/>
          <w:color w:val="auto"/>
        </w:rPr>
        <w:t xml:space="preserve">MADDE 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Öğrenciler,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süresince aşağıdaki dokümanları hazırlamak,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tamamlanmasını izlemek ve sağlamakla yükümlüdür.</w:t>
      </w:r>
    </w:p>
    <w:p>
      <w:pPr>
        <w:spacing w:after="0" w:line="21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color w:val="auto"/>
        </w:rPr>
        <w:t xml:space="preserve">(2) 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ile ilgili dokümanlar aşağıda belirtilmiştir:</w:t>
      </w:r>
    </w:p>
    <w:p>
      <w:pPr>
        <w:spacing w:after="0" w:line="246" w:lineRule="exact"/>
        <w:rPr>
          <w:sz w:val="20"/>
          <w:szCs w:val="20"/>
          <w:color w:val="auto"/>
        </w:rPr>
      </w:pPr>
    </w:p>
    <w:p>
      <w:pPr>
        <w:ind w:firstLine="769"/>
        <w:spacing w:after="0" w:line="264" w:lineRule="auto"/>
        <w:tabs>
          <w:tab w:leader="none" w:pos="994"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Eğitim Başvuru Formu: Öğrenciler tarafından doldurulan,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yapmak istedikleri işletmeyi 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başlama</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bitiş tarihlerini gösteren dilekçelerdir.</w:t>
      </w:r>
    </w:p>
    <w:p>
      <w:pPr>
        <w:spacing w:after="0" w:line="26" w:lineRule="exact"/>
        <w:rPr>
          <w:rFonts w:ascii="Times New Roman" w:cs="Times New Roman" w:eastAsia="Times New Roman" w:hAnsi="Times New Roman"/>
          <w:sz w:val="22"/>
          <w:szCs w:val="22"/>
          <w:color w:val="auto"/>
        </w:rPr>
      </w:pPr>
    </w:p>
    <w:p>
      <w:pPr>
        <w:jc w:val="both"/>
        <w:ind w:firstLine="769"/>
        <w:spacing w:after="0" w:line="273" w:lineRule="auto"/>
        <w:tabs>
          <w:tab w:leader="none" w:pos="994"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Eğitim Öğrenci Değerlendirme Formu: İşyeri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sorumlusu tarafından</w:t>
      </w:r>
      <w:r>
        <w:rPr>
          <w:rFonts w:ascii="Times New Roman" w:cs="Times New Roman" w:eastAsia="Times New Roman" w:hAnsi="Times New Roman"/>
          <w:sz w:val="22"/>
          <w:szCs w:val="22"/>
          <w:color w:val="auto"/>
        </w:rPr>
        <w:t>, her 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öğrencisi için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işyeri uygulaması süresince yaptığı </w:t>
      </w:r>
      <w:r>
        <w:rPr>
          <w:rFonts w:ascii="Times New Roman" w:cs="Times New Roman" w:eastAsia="Times New Roman" w:hAnsi="Times New Roman"/>
          <w:sz w:val="22"/>
          <w:szCs w:val="22"/>
          <w:color w:val="auto"/>
        </w:rPr>
        <w:t>faaliyetleri</w:t>
      </w:r>
      <w:r>
        <w:rPr>
          <w:rFonts w:ascii="Times New Roman" w:cs="Times New Roman" w:eastAsia="Times New Roman" w:hAnsi="Times New Roman"/>
          <w:sz w:val="22"/>
          <w:szCs w:val="22"/>
          <w:color w:val="auto"/>
        </w:rPr>
        <w:t xml:space="preserve"> değerlendir</w:t>
      </w:r>
      <w:r>
        <w:rPr>
          <w:rFonts w:ascii="Times New Roman" w:cs="Times New Roman" w:eastAsia="Times New Roman" w:hAnsi="Times New Roman"/>
          <w:sz w:val="22"/>
          <w:szCs w:val="22"/>
          <w:color w:val="auto"/>
        </w:rPr>
        <w:t>mek</w:t>
      </w:r>
      <w:r>
        <w:rPr>
          <w:rFonts w:ascii="Times New Roman" w:cs="Times New Roman" w:eastAsia="Times New Roman" w:hAnsi="Times New Roman"/>
          <w:sz w:val="22"/>
          <w:szCs w:val="22"/>
          <w:color w:val="auto"/>
        </w:rPr>
        <w:t xml:space="preserve"> ve sonunda öğrencinin başarılı olup olmadığını belir</w:t>
      </w:r>
      <w:r>
        <w:rPr>
          <w:rFonts w:ascii="Times New Roman" w:cs="Times New Roman" w:eastAsia="Times New Roman" w:hAnsi="Times New Roman"/>
          <w:sz w:val="22"/>
          <w:szCs w:val="22"/>
          <w:color w:val="auto"/>
        </w:rPr>
        <w:t>tmek</w:t>
      </w:r>
      <w:r>
        <w:rPr>
          <w:rFonts w:ascii="Times New Roman" w:cs="Times New Roman" w:eastAsia="Times New Roman" w:hAnsi="Times New Roman"/>
          <w:sz w:val="22"/>
          <w:szCs w:val="22"/>
          <w:color w:val="auto"/>
        </w:rPr>
        <w:t xml:space="preserve"> için doldurulan </w:t>
      </w:r>
      <w:r>
        <w:rPr>
          <w:rFonts w:ascii="Times New Roman" w:cs="Times New Roman" w:eastAsia="Times New Roman" w:hAnsi="Times New Roman"/>
          <w:sz w:val="22"/>
          <w:szCs w:val="22"/>
          <w:color w:val="auto"/>
        </w:rPr>
        <w:t>belgedir.</w:t>
      </w:r>
      <w:r>
        <w:rPr>
          <w:rFonts w:ascii="Times New Roman" w:cs="Times New Roman" w:eastAsia="Times New Roman" w:hAnsi="Times New Roman"/>
          <w:sz w:val="22"/>
          <w:szCs w:val="22"/>
          <w:color w:val="auto"/>
        </w:rPr>
        <w:t xml:space="preserve"> Tümleşi</w:t>
      </w:r>
      <w:r>
        <w:rPr>
          <w:rFonts w:ascii="Times New Roman" w:cs="Times New Roman" w:eastAsia="Times New Roman" w:hAnsi="Times New Roman"/>
          <w:sz w:val="22"/>
          <w:szCs w:val="22"/>
          <w:color w:val="auto"/>
        </w:rPr>
        <w:t>k e</w:t>
      </w:r>
      <w:r>
        <w:rPr>
          <w:rFonts w:ascii="Times New Roman" w:cs="Times New Roman" w:eastAsia="Times New Roman" w:hAnsi="Times New Roman"/>
          <w:sz w:val="22"/>
          <w:szCs w:val="22"/>
          <w:color w:val="auto"/>
        </w:rPr>
        <w:t xml:space="preserve">ğitim değerlendirme formlarının işyeri uygulamasının bitiminde Bölüm Başkanlığına,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sorumlusu tarafından doğrudan veya öğrenci tarafından kapalı ve onaylı zarf içerisinde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ulaştırılması gerekir.</w:t>
      </w:r>
    </w:p>
    <w:p>
      <w:pPr>
        <w:spacing w:after="0" w:line="18" w:lineRule="exact"/>
        <w:rPr>
          <w:rFonts w:ascii="Times New Roman" w:cs="Times New Roman" w:eastAsia="Times New Roman" w:hAnsi="Times New Roman"/>
          <w:sz w:val="22"/>
          <w:szCs w:val="22"/>
          <w:color w:val="auto"/>
        </w:rPr>
      </w:pPr>
    </w:p>
    <w:p>
      <w:pPr>
        <w:jc w:val="both"/>
        <w:ind w:firstLine="769"/>
        <w:spacing w:after="0" w:line="270" w:lineRule="auto"/>
        <w:tabs>
          <w:tab w:leader="none" w:pos="994"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Eğitim Raporu: Her öğrenci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çalışmaları hakkında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Komisyonunca belirlenecek formata uygun olarak düzenleyecekleri bir raporu ilgili Bölüm Başkanlığına teslim etmek zorundadır.</w:t>
      </w:r>
    </w:p>
    <w:p>
      <w:pPr>
        <w:spacing w:after="0" w:line="17" w:lineRule="exact"/>
        <w:rPr>
          <w:rFonts w:ascii="Times New Roman" w:cs="Times New Roman" w:eastAsia="Times New Roman" w:hAnsi="Times New Roman"/>
          <w:sz w:val="22"/>
          <w:szCs w:val="22"/>
          <w:color w:val="auto"/>
        </w:rPr>
      </w:pPr>
    </w:p>
    <w:p>
      <w:pPr>
        <w:jc w:val="both"/>
        <w:ind w:firstLine="773"/>
        <w:spacing w:after="0" w:line="289" w:lineRule="auto"/>
        <w:rPr>
          <w:rFonts w:ascii="Times New Roman" w:cs="Times New Roman" w:eastAsia="Times New Roman" w:hAnsi="Times New Roman"/>
          <w:sz w:val="22"/>
          <w:szCs w:val="22"/>
          <w:color w:val="auto"/>
        </w:rPr>
      </w:pPr>
      <w:r>
        <w:rPr>
          <w:rFonts w:ascii="Times New Roman" w:cs="Times New Roman" w:eastAsia="Times New Roman" w:hAnsi="Times New Roman"/>
          <w:sz w:val="21"/>
          <w:szCs w:val="21"/>
          <w:color w:val="auto"/>
        </w:rPr>
        <w:t>ç) Tümleşik Eğitim Kılavuzu: Her bölü</w:t>
      </w:r>
      <w:r>
        <w:rPr>
          <w:rFonts w:ascii="Times New Roman" w:cs="Times New Roman" w:eastAsia="Times New Roman" w:hAnsi="Times New Roman"/>
          <w:sz w:val="21"/>
          <w:szCs w:val="21"/>
          <w:color w:val="auto"/>
        </w:rPr>
        <w:t>m komisyonu, 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 xml:space="preserve">ğitim uygulamalarının ayrıntılarını içerecek şekilde öğrenciler için rehber niteliği taşıyacak bir Tümleşik Eğitim </w:t>
      </w:r>
      <w:r>
        <w:rPr>
          <w:rFonts w:ascii="Times New Roman" w:cs="Times New Roman" w:eastAsia="Times New Roman" w:hAnsi="Times New Roman"/>
          <w:sz w:val="21"/>
          <w:szCs w:val="21"/>
          <w:color w:val="auto"/>
        </w:rPr>
        <w:t>K</w:t>
      </w:r>
      <w:r>
        <w:rPr>
          <w:rFonts w:ascii="Times New Roman" w:cs="Times New Roman" w:eastAsia="Times New Roman" w:hAnsi="Times New Roman"/>
          <w:sz w:val="21"/>
          <w:szCs w:val="21"/>
          <w:color w:val="auto"/>
        </w:rPr>
        <w:t>ılavuzunu, Tümleşik Eğitim Yönergesi çerçevesinde hazırlar ve bölüme kayıt yaptıran tüm öğrencilerin ilgili web sayfasından bu kılavuza erişimini sağlar. Bu kıla</w:t>
      </w:r>
      <w:r>
        <w:rPr>
          <w:rFonts w:ascii="Times New Roman" w:cs="Times New Roman" w:eastAsia="Times New Roman" w:hAnsi="Times New Roman"/>
          <w:sz w:val="21"/>
          <w:szCs w:val="21"/>
          <w:color w:val="auto"/>
        </w:rPr>
        <w:t>vuzda 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ğitimle ilgili aşağıdaki bilgiler yer alır;</w:t>
      </w:r>
    </w:p>
    <w:p>
      <w:pPr>
        <w:ind w:left="1000" w:hanging="293"/>
        <w:spacing w:after="0"/>
        <w:tabs>
          <w:tab w:leader="none" w:pos="10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eğitimin tanımı,</w:t>
      </w:r>
    </w:p>
    <w:p>
      <w:pPr>
        <w:spacing w:after="0" w:line="39" w:lineRule="exact"/>
        <w:rPr>
          <w:rFonts w:ascii="Times New Roman" w:cs="Times New Roman" w:eastAsia="Times New Roman" w:hAnsi="Times New Roman"/>
          <w:sz w:val="22"/>
          <w:szCs w:val="22"/>
          <w:color w:val="auto"/>
        </w:rPr>
      </w:pPr>
    </w:p>
    <w:p>
      <w:pPr>
        <w:ind w:left="1000" w:hanging="293"/>
        <w:spacing w:after="0"/>
        <w:tabs>
          <w:tab w:leader="none" w:pos="10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eğitimin amacı,</w:t>
      </w:r>
    </w:p>
    <w:p>
      <w:pPr>
        <w:spacing w:after="0" w:line="37" w:lineRule="exact"/>
        <w:rPr>
          <w:rFonts w:ascii="Times New Roman" w:cs="Times New Roman" w:eastAsia="Times New Roman" w:hAnsi="Times New Roman"/>
          <w:sz w:val="22"/>
          <w:szCs w:val="22"/>
          <w:color w:val="auto"/>
        </w:rPr>
      </w:pPr>
    </w:p>
    <w:p>
      <w:pPr>
        <w:ind w:left="1000" w:hanging="293"/>
        <w:spacing w:after="0"/>
        <w:tabs>
          <w:tab w:leader="none" w:pos="10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öğrencisinin görev ve sorumlulukları,</w:t>
      </w:r>
    </w:p>
    <w:p>
      <w:pPr>
        <w:spacing w:after="0" w:line="37" w:lineRule="exact"/>
        <w:rPr>
          <w:rFonts w:ascii="Times New Roman" w:cs="Times New Roman" w:eastAsia="Times New Roman" w:hAnsi="Times New Roman"/>
          <w:sz w:val="22"/>
          <w:szCs w:val="22"/>
          <w:color w:val="auto"/>
        </w:rPr>
      </w:pPr>
    </w:p>
    <w:p>
      <w:pPr>
        <w:ind w:left="1000" w:hanging="293"/>
        <w:spacing w:after="0"/>
        <w:tabs>
          <w:tab w:leader="none" w:pos="10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Her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aşamasında, işyeri uygulaması yapılacak yer için öngörülen ölçütler,</w:t>
      </w:r>
    </w:p>
    <w:p>
      <w:pPr>
        <w:spacing w:after="0" w:line="37" w:lineRule="exact"/>
        <w:rPr>
          <w:rFonts w:ascii="Times New Roman" w:cs="Times New Roman" w:eastAsia="Times New Roman" w:hAnsi="Times New Roman"/>
          <w:sz w:val="22"/>
          <w:szCs w:val="22"/>
          <w:color w:val="auto"/>
        </w:rPr>
      </w:pPr>
    </w:p>
    <w:p>
      <w:pPr>
        <w:ind w:left="1000" w:hanging="293"/>
        <w:spacing w:after="0"/>
        <w:tabs>
          <w:tab w:leader="none" w:pos="100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İşlemleri:</w:t>
      </w:r>
    </w:p>
    <w:p>
      <w:pPr>
        <w:spacing w:after="0" w:line="37" w:lineRule="exact"/>
        <w:rPr>
          <w:rFonts w:ascii="Times New Roman" w:cs="Times New Roman" w:eastAsia="Times New Roman" w:hAnsi="Times New Roman"/>
          <w:sz w:val="22"/>
          <w:szCs w:val="22"/>
          <w:color w:val="auto"/>
        </w:rPr>
      </w:pPr>
    </w:p>
    <w:p>
      <w:pPr>
        <w:ind w:left="1560" w:hanging="479"/>
        <w:spacing w:after="0"/>
        <w:tabs>
          <w:tab w:leader="none" w:pos="1560" w:val="left"/>
        </w:tabs>
        <w:numPr>
          <w:ilvl w:val="2"/>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yeri seçimi,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için başvuru ve bölüm onayı,</w:t>
      </w:r>
    </w:p>
    <w:p>
      <w:pPr>
        <w:spacing w:after="0" w:line="51" w:lineRule="exact"/>
        <w:rPr>
          <w:rFonts w:ascii="Times New Roman" w:cs="Times New Roman" w:eastAsia="Times New Roman" w:hAnsi="Times New Roman"/>
          <w:sz w:val="22"/>
          <w:szCs w:val="22"/>
          <w:color w:val="auto"/>
        </w:rPr>
      </w:pPr>
    </w:p>
    <w:p>
      <w:pPr>
        <w:ind w:left="1560" w:hanging="541"/>
        <w:spacing w:after="0"/>
        <w:tabs>
          <w:tab w:leader="none" w:pos="1560" w:val="left"/>
        </w:tabs>
        <w:numPr>
          <w:ilvl w:val="2"/>
          <w:numId w:val="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Tümleşik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raporu, biçimi, yazım kuralları, içeriği, onaylanması ve teslim süresi,</w:t>
      </w:r>
    </w:p>
    <w:p>
      <w:pPr>
        <w:spacing w:after="0" w:line="48" w:lineRule="exact"/>
        <w:rPr>
          <w:rFonts w:ascii="Times New Roman" w:cs="Times New Roman" w:eastAsia="Times New Roman" w:hAnsi="Times New Roman"/>
          <w:sz w:val="21"/>
          <w:szCs w:val="21"/>
          <w:color w:val="auto"/>
        </w:rPr>
      </w:pPr>
    </w:p>
    <w:p>
      <w:pPr>
        <w:ind w:left="1560" w:right="20" w:hanging="601"/>
        <w:spacing w:after="0" w:line="264" w:lineRule="auto"/>
        <w:tabs>
          <w:tab w:leader="none" w:pos="1560" w:val="left"/>
        </w:tabs>
        <w:numPr>
          <w:ilvl w:val="2"/>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mesaisinin işyerince değerlendirilmesi ve değerlend</w:t>
      </w:r>
      <w:r>
        <w:rPr>
          <w:rFonts w:ascii="Times New Roman" w:cs="Times New Roman" w:eastAsia="Times New Roman" w:hAnsi="Times New Roman"/>
          <w:sz w:val="22"/>
          <w:szCs w:val="22"/>
          <w:color w:val="auto"/>
        </w:rPr>
        <w:t>irme</w:t>
      </w:r>
      <w:r>
        <w:rPr>
          <w:rFonts w:ascii="Times New Roman" w:cs="Times New Roman" w:eastAsia="Times New Roman" w:hAnsi="Times New Roman"/>
          <w:sz w:val="22"/>
          <w:szCs w:val="22"/>
          <w:color w:val="auto"/>
        </w:rPr>
        <w:t xml:space="preserve"> sonuçlarının bölüme iletilmesi,</w:t>
      </w:r>
    </w:p>
    <w:p>
      <w:pPr>
        <w:spacing w:after="0" w:line="24" w:lineRule="exact"/>
        <w:rPr>
          <w:rFonts w:ascii="Times New Roman" w:cs="Times New Roman" w:eastAsia="Times New Roman" w:hAnsi="Times New Roman"/>
          <w:sz w:val="22"/>
          <w:szCs w:val="22"/>
          <w:color w:val="auto"/>
        </w:rPr>
      </w:pPr>
    </w:p>
    <w:p>
      <w:pPr>
        <w:jc w:val="both"/>
        <w:ind w:left="1560" w:hanging="589"/>
        <w:spacing w:after="0" w:line="272" w:lineRule="auto"/>
        <w:tabs>
          <w:tab w:leader="none" w:pos="1560" w:val="left"/>
        </w:tabs>
        <w:numPr>
          <w:ilvl w:val="2"/>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Yapılan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ğitimin 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raporunun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Komisyonunca değerlendirilmesi 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sonuçlarının ilanı, konuları, tüm koşul ve kuralları ile açıklanır.</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ÜÇÜNCÜ BÖLÜM</w:t>
      </w:r>
    </w:p>
    <w:p>
      <w:pPr>
        <w:spacing w:after="0" w:line="2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Tümleşik Eğitim Yerleri, Tümleşik Eğitime Başvuru, Tümleşik Eğitimin Yürütülmesi,</w:t>
      </w:r>
    </w:p>
    <w:p>
      <w:pPr>
        <w:spacing w:after="0" w:line="251" w:lineRule="exact"/>
        <w:rPr>
          <w:sz w:val="20"/>
          <w:szCs w:val="20"/>
          <w:color w:val="auto"/>
        </w:rPr>
      </w:pPr>
    </w:p>
    <w:p>
      <w:pPr>
        <w:ind w:left="700" w:right="2020" w:firstLine="1298"/>
        <w:spacing w:after="0" w:line="455" w:lineRule="auto"/>
        <w:rPr>
          <w:sz w:val="20"/>
          <w:szCs w:val="20"/>
          <w:color w:val="auto"/>
        </w:rPr>
      </w:pPr>
      <w:r>
        <w:rPr>
          <w:rFonts w:ascii="Times New Roman" w:cs="Times New Roman" w:eastAsia="Times New Roman" w:hAnsi="Times New Roman"/>
          <w:sz w:val="22"/>
          <w:szCs w:val="22"/>
          <w:b w:val="1"/>
          <w:bCs w:val="1"/>
          <w:color w:val="auto"/>
        </w:rPr>
        <w:t>Tümleşik Eğitime Başlama ve Tümleşik Eğitim Süresi Tümleşik Eğitim Yerleri</w:t>
      </w:r>
    </w:p>
    <w:p>
      <w:pPr>
        <w:spacing w:after="0" w:line="15" w:lineRule="exact"/>
        <w:rPr>
          <w:sz w:val="20"/>
          <w:szCs w:val="20"/>
          <w:color w:val="auto"/>
        </w:rPr>
      </w:pPr>
    </w:p>
    <w:p>
      <w:pPr>
        <w:jc w:val="both"/>
        <w:ind w:firstLine="708"/>
        <w:spacing w:after="0" w:line="289" w:lineRule="auto"/>
        <w:rPr>
          <w:sz w:val="20"/>
          <w:szCs w:val="20"/>
          <w:color w:val="auto"/>
        </w:rPr>
      </w:pPr>
      <w:r>
        <w:rPr>
          <w:rFonts w:ascii="Times New Roman" w:cs="Times New Roman" w:eastAsia="Times New Roman" w:hAnsi="Times New Roman"/>
          <w:sz w:val="21"/>
          <w:szCs w:val="21"/>
          <w:b w:val="1"/>
          <w:bCs w:val="1"/>
          <w:color w:val="auto"/>
        </w:rPr>
        <w:t xml:space="preserve">MADDE 10 </w:t>
      </w:r>
      <w:r>
        <w:rPr>
          <w:rFonts w:ascii="Times New Roman" w:cs="Times New Roman" w:eastAsia="Times New Roman" w:hAnsi="Times New Roman"/>
          <w:sz w:val="21"/>
          <w:szCs w:val="21"/>
          <w:color w:val="auto"/>
        </w:rPr>
        <w:t>– (1) Tümleşik</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öğrencilerine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b</w:t>
      </w:r>
      <w:r>
        <w:rPr>
          <w:rFonts w:ascii="Times New Roman" w:cs="Times New Roman" w:eastAsia="Times New Roman" w:hAnsi="Times New Roman"/>
          <w:sz w:val="21"/>
          <w:szCs w:val="21"/>
          <w:color w:val="auto"/>
        </w:rPr>
        <w:t>ölümleri</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t</w:t>
      </w:r>
      <w:r>
        <w:rPr>
          <w:rFonts w:ascii="Times New Roman" w:cs="Times New Roman" w:eastAsia="Times New Roman" w:hAnsi="Times New Roman"/>
          <w:sz w:val="21"/>
          <w:szCs w:val="21"/>
          <w:color w:val="auto"/>
        </w:rPr>
        <w:t>ümleşik</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yeri bulmak zorunda</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 xml:space="preserve">değildir. Resmi veya özel kurum ve kuruluşlarca </w:t>
      </w:r>
      <w:r>
        <w:rPr>
          <w:rFonts w:ascii="Times New Roman" w:cs="Times New Roman" w:eastAsia="Times New Roman" w:hAnsi="Times New Roman"/>
          <w:sz w:val="21"/>
          <w:szCs w:val="21"/>
          <w:color w:val="auto"/>
        </w:rPr>
        <w:t>b</w:t>
      </w:r>
      <w:r>
        <w:rPr>
          <w:rFonts w:ascii="Times New Roman" w:cs="Times New Roman" w:eastAsia="Times New Roman" w:hAnsi="Times New Roman"/>
          <w:sz w:val="21"/>
          <w:szCs w:val="21"/>
          <w:color w:val="auto"/>
        </w:rPr>
        <w:t xml:space="preserve">ölüme tahsis edilen </w:t>
      </w:r>
      <w:r>
        <w:rPr>
          <w:rFonts w:ascii="Times New Roman" w:cs="Times New Roman" w:eastAsia="Times New Roman" w:hAnsi="Times New Roman"/>
          <w:sz w:val="21"/>
          <w:szCs w:val="21"/>
          <w:color w:val="auto"/>
        </w:rPr>
        <w:t>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 xml:space="preserve">ğitim kontenjanları </w:t>
      </w:r>
      <w:r>
        <w:rPr>
          <w:rFonts w:ascii="Times New Roman" w:cs="Times New Roman" w:eastAsia="Times New Roman" w:hAnsi="Times New Roman"/>
          <w:sz w:val="21"/>
          <w:szCs w:val="21"/>
          <w:color w:val="auto"/>
        </w:rPr>
        <w:t xml:space="preserve">ilgili </w:t>
      </w:r>
      <w:r>
        <w:rPr>
          <w:rFonts w:ascii="Times New Roman" w:cs="Times New Roman" w:eastAsia="Times New Roman" w:hAnsi="Times New Roman"/>
          <w:sz w:val="21"/>
          <w:szCs w:val="21"/>
          <w:color w:val="auto"/>
        </w:rPr>
        <w:t>Tümleşik Eğitim Komisyonunca ilan edilir ve dağıtılır. Tahsis edilen</w:t>
      </w:r>
      <w:r>
        <w:rPr>
          <w:rFonts w:ascii="Times New Roman" w:cs="Times New Roman" w:eastAsia="Times New Roman" w:hAnsi="Times New Roman"/>
          <w:sz w:val="21"/>
          <w:szCs w:val="21"/>
          <w:color w:val="auto"/>
        </w:rPr>
        <w:t xml:space="preserve"> t</w:t>
      </w:r>
      <w:r>
        <w:rPr>
          <w:rFonts w:ascii="Times New Roman" w:cs="Times New Roman" w:eastAsia="Times New Roman" w:hAnsi="Times New Roman"/>
          <w:sz w:val="21"/>
          <w:szCs w:val="21"/>
          <w:color w:val="auto"/>
        </w:rPr>
        <w:t>ümleşik</w:t>
      </w:r>
      <w:r>
        <w:rPr>
          <w:rFonts w:ascii="Times New Roman" w:cs="Times New Roman" w:eastAsia="Times New Roman" w:hAnsi="Times New Roman"/>
          <w:sz w:val="21"/>
          <w:szCs w:val="21"/>
          <w:color w:val="auto"/>
        </w:rPr>
        <w:t xml:space="preserve"> e</w:t>
      </w:r>
      <w:r>
        <w:rPr>
          <w:rFonts w:ascii="Times New Roman" w:cs="Times New Roman" w:eastAsia="Times New Roman" w:hAnsi="Times New Roman"/>
          <w:sz w:val="21"/>
          <w:szCs w:val="21"/>
          <w:color w:val="auto"/>
        </w:rPr>
        <w:t>ğitim yerlerinin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color w:val="auto"/>
        </w:rPr>
        <w:t>yeterli olmaması durumunda, öğrencilerin kendi imkânları ile bulacağı v</w:t>
      </w:r>
      <w:r>
        <w:rPr>
          <w:rFonts w:ascii="Times New Roman" w:cs="Times New Roman" w:eastAsia="Times New Roman" w:hAnsi="Times New Roman"/>
          <w:sz w:val="21"/>
          <w:szCs w:val="21"/>
          <w:color w:val="auto"/>
        </w:rPr>
        <w:t>e ilgili</w:t>
      </w:r>
      <w:r>
        <w:rPr>
          <w:rFonts w:ascii="Times New Roman" w:cs="Times New Roman" w:eastAsia="Times New Roman" w:hAnsi="Times New Roman"/>
          <w:sz w:val="21"/>
          <w:szCs w:val="21"/>
          <w:color w:val="auto"/>
        </w:rPr>
        <w:t xml:space="preserve"> Tümleşik Eğitim Komisyonlarının da uygun göreceği kamu veya özel sektöre ait işletmelerde işyeri uygulaması yapması</w:t>
      </w:r>
    </w:p>
    <w:p>
      <w:pPr>
        <w:spacing w:after="0" w:line="200" w:lineRule="exact"/>
        <w:rPr>
          <w:sz w:val="20"/>
          <w:szCs w:val="20"/>
          <w:color w:val="auto"/>
        </w:rPr>
      </w:pPr>
    </w:p>
    <w:p>
      <w:pPr>
        <w:spacing w:after="0" w:line="29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0" w:right="1406" w:bottom="0" w:gutter="0" w:footer="0" w:header="0"/>
        </w:sectPr>
      </w:pPr>
    </w:p>
    <w:bookmarkStart w:id="3" w:name="page4"/>
    <w:bookmarkEnd w:id="3"/>
    <w:p>
      <w:pPr>
        <w:jc w:val="both"/>
        <w:ind w:right="20"/>
        <w:spacing w:after="0" w:line="267" w:lineRule="auto"/>
        <w:rPr>
          <w:sz w:val="20"/>
          <w:szCs w:val="20"/>
          <w:color w:val="auto"/>
        </w:rPr>
      </w:pPr>
      <w:r>
        <w:rPr>
          <w:rFonts w:ascii="Times New Roman" w:cs="Times New Roman" w:eastAsia="Times New Roman" w:hAnsi="Times New Roman"/>
          <w:sz w:val="22"/>
          <w:szCs w:val="22"/>
          <w:color w:val="auto"/>
        </w:rPr>
        <w:t xml:space="preserve">mümkündür. Hiçbir öğrenci kendi girişimiyle bulduğu işletmede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Komisyonunun onayı olmadan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yap</w:t>
      </w:r>
      <w:r>
        <w:rPr>
          <w:rFonts w:ascii="Times New Roman" w:cs="Times New Roman" w:eastAsia="Times New Roman" w:hAnsi="Times New Roman"/>
          <w:sz w:val="22"/>
          <w:szCs w:val="22"/>
          <w:color w:val="auto"/>
        </w:rPr>
        <w:t>amaz.</w:t>
      </w:r>
    </w:p>
    <w:p>
      <w:pPr>
        <w:spacing w:after="0" w:line="2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Yurtdışında Tümleşik Eğitim</w:t>
      </w:r>
    </w:p>
    <w:p>
      <w:pPr>
        <w:spacing w:after="0" w:line="243"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MADDE 11 </w:t>
      </w:r>
      <w:r>
        <w:rPr>
          <w:rFonts w:ascii="Times New Roman" w:cs="Times New Roman" w:eastAsia="Times New Roman" w:hAnsi="Times New Roman"/>
          <w:sz w:val="22"/>
          <w:szCs w:val="22"/>
          <w:color w:val="auto"/>
        </w:rPr>
        <w:t>– (1) Yurtdışında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yapmak isteyen öğrenciler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ğitimlerini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ERASMUS programı kapsamında gerçekleştirebilecekleri gibi kendi girişimleri sonucu buldukları işletmelerde </w:t>
      </w:r>
      <w:r>
        <w:rPr>
          <w:rFonts w:ascii="Times New Roman" w:cs="Times New Roman" w:eastAsia="Times New Roman" w:hAnsi="Times New Roman"/>
          <w:sz w:val="22"/>
          <w:szCs w:val="22"/>
          <w:color w:val="auto"/>
        </w:rPr>
        <w:t>de b</w:t>
      </w:r>
      <w:r>
        <w:rPr>
          <w:rFonts w:ascii="Times New Roman" w:cs="Times New Roman" w:eastAsia="Times New Roman" w:hAnsi="Times New Roman"/>
          <w:sz w:val="22"/>
          <w:szCs w:val="22"/>
          <w:color w:val="auto"/>
        </w:rPr>
        <w:t xml:space="preserve">ölüm Tümleşik Eğitim Komisyonunun yazılı onayını almak koşuluyla işyeri uygulaması </w:t>
      </w:r>
      <w:r>
        <w:rPr>
          <w:rFonts w:ascii="Times New Roman" w:cs="Times New Roman" w:eastAsia="Times New Roman" w:hAnsi="Times New Roman"/>
          <w:sz w:val="22"/>
          <w:szCs w:val="22"/>
          <w:color w:val="auto"/>
        </w:rPr>
        <w:t>yapabilirler.</w:t>
      </w:r>
    </w:p>
    <w:p>
      <w:pPr>
        <w:spacing w:after="0" w:line="2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Eğitime Başvuru</w:t>
      </w:r>
    </w:p>
    <w:p>
      <w:pPr>
        <w:spacing w:after="0" w:line="241" w:lineRule="exact"/>
        <w:rPr>
          <w:sz w:val="20"/>
          <w:szCs w:val="20"/>
          <w:color w:val="auto"/>
        </w:rPr>
      </w:pPr>
    </w:p>
    <w:p>
      <w:pPr>
        <w:jc w:val="both"/>
        <w:ind w:right="20" w:firstLine="708"/>
        <w:spacing w:after="0" w:line="274" w:lineRule="auto"/>
        <w:rPr>
          <w:sz w:val="20"/>
          <w:szCs w:val="20"/>
          <w:color w:val="auto"/>
        </w:rPr>
      </w:pPr>
      <w:r>
        <w:rPr>
          <w:rFonts w:ascii="Times New Roman" w:cs="Times New Roman" w:eastAsia="Times New Roman" w:hAnsi="Times New Roman"/>
          <w:sz w:val="22"/>
          <w:szCs w:val="22"/>
          <w:b w:val="1"/>
          <w:bCs w:val="1"/>
          <w:color w:val="auto"/>
        </w:rPr>
        <w:t xml:space="preserve">MADDE 12 </w:t>
      </w:r>
      <w:r>
        <w:rPr>
          <w:rFonts w:ascii="Times New Roman" w:cs="Times New Roman" w:eastAsia="Times New Roman" w:hAnsi="Times New Roman"/>
          <w:sz w:val="22"/>
          <w:szCs w:val="22"/>
          <w:color w:val="auto"/>
        </w:rPr>
        <w:t>– (1) Öğrenci,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için başvuru yaptığı kuruluş tarafından işyeri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uygulamasının zorunlu olduğunu gösteren belge talep edilmesi halinde “Tümleşik Eğitim Başvuru Formu”nu ilgili Tümleşik Eğitim komisyonuna onaylatmalıdır. Öğrenci işyeri uygulamasına başlamadan önce “Tümleşik Eğitim Kabul Formu”nu önce işyerine onaylatıp, sonra ilgili fakültenin Tümleşik Eğitim Komisyonuna onaylatmalıdır.</w:t>
      </w:r>
    </w:p>
    <w:p>
      <w:pPr>
        <w:spacing w:after="0" w:line="20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Eğitimin Yürütülmesi</w:t>
      </w:r>
    </w:p>
    <w:p>
      <w:pPr>
        <w:spacing w:after="0" w:line="24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13 </w:t>
      </w:r>
      <w:r>
        <w:rPr>
          <w:rFonts w:ascii="Times New Roman" w:cs="Times New Roman" w:eastAsia="Times New Roman" w:hAnsi="Times New Roman"/>
          <w:sz w:val="22"/>
          <w:szCs w:val="22"/>
          <w:color w:val="auto"/>
        </w:rPr>
        <w:t>– (1) Öğrencilerin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ğitimlere fiilen devamları zorunludur. Öğrenciler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işyeri uygulamasına başladıktan sonra,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w:t>
      </w:r>
      <w:r>
        <w:rPr>
          <w:rFonts w:ascii="Times New Roman" w:cs="Times New Roman" w:eastAsia="Times New Roman" w:hAnsi="Times New Roman"/>
          <w:sz w:val="22"/>
          <w:szCs w:val="22"/>
          <w:color w:val="auto"/>
        </w:rPr>
        <w:t>Komisyonunun</w:t>
      </w:r>
      <w:r>
        <w:rPr>
          <w:rFonts w:ascii="Times New Roman" w:cs="Times New Roman" w:eastAsia="Times New Roman" w:hAnsi="Times New Roman"/>
          <w:sz w:val="22"/>
          <w:szCs w:val="22"/>
          <w:color w:val="auto"/>
        </w:rPr>
        <w:t xml:space="preserve"> bilgisi ve onayı alınmaksızın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yeri değişikliği yapamazlar, değiştirdiği takdirde yapılan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geçersiz sayılır.</w:t>
      </w:r>
    </w:p>
    <w:p>
      <w:pPr>
        <w:spacing w:after="0" w:line="212" w:lineRule="exact"/>
        <w:rPr>
          <w:sz w:val="20"/>
          <w:szCs w:val="20"/>
          <w:color w:val="auto"/>
        </w:rPr>
      </w:pPr>
    </w:p>
    <w:p>
      <w:pPr>
        <w:jc w:val="both"/>
        <w:ind w:firstLine="704"/>
        <w:spacing w:after="0" w:line="273" w:lineRule="auto"/>
        <w:tabs>
          <w:tab w:leader="none" w:pos="1015"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İşletmelerde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öğrencileri kesinlikle grev, gösteri, yürüyüş veya iş yavaşlatma gibi eylemlere katılamazlar. İşletmelerde grev ve lokavt uygulaması, deprem, yangın ve sel gibi doğal afet olması durumunda, öğrencil</w:t>
      </w:r>
      <w:r>
        <w:rPr>
          <w:rFonts w:ascii="Times New Roman" w:cs="Times New Roman" w:eastAsia="Times New Roman" w:hAnsi="Times New Roman"/>
          <w:sz w:val="22"/>
          <w:szCs w:val="22"/>
          <w:color w:val="auto"/>
        </w:rPr>
        <w:t>er 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ğitimlerini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Komisyonunun bilgisi ve onayı dâhilinde başka işletmelerde sürdürebilirler.</w:t>
      </w:r>
    </w:p>
    <w:p>
      <w:pPr>
        <w:spacing w:after="0" w:line="21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Eğitime Başlama ve Tümleşik Eğitim Süresi</w:t>
      </w:r>
    </w:p>
    <w:p>
      <w:pPr>
        <w:spacing w:after="0" w:line="241" w:lineRule="exact"/>
        <w:rPr>
          <w:sz w:val="20"/>
          <w:szCs w:val="20"/>
          <w:color w:val="auto"/>
        </w:rPr>
      </w:pPr>
    </w:p>
    <w:p>
      <w:pPr>
        <w:jc w:val="both"/>
        <w:ind w:right="20"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14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Tümleşik eğitimlerin ne zaman yapılabileceği ilgili Tümleşik Eğitim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Komisyonları tarafından belirlenir. Öğrencinin müfredatında yer alan dönemde “Staj” dersini seçmesi önceliklidir. Tümleşik eğitim, esas olarak eğitim öğretimin fiilen yapılmadığı süreler içinde yapılır. Ancak, ilgili Fakülte Yönetim Kurulu kararı ile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dönemi içerisinde de yapılabilir.</w:t>
      </w:r>
    </w:p>
    <w:p>
      <w:pPr>
        <w:spacing w:after="0" w:line="212" w:lineRule="exact"/>
        <w:rPr>
          <w:sz w:val="20"/>
          <w:szCs w:val="20"/>
          <w:color w:val="auto"/>
        </w:rPr>
      </w:pPr>
    </w:p>
    <w:p>
      <w:pPr>
        <w:jc w:val="both"/>
        <w:ind w:right="20" w:firstLine="704"/>
        <w:spacing w:after="0" w:line="272" w:lineRule="auto"/>
        <w:tabs>
          <w:tab w:leader="none" w:pos="102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Öğrencinin “Staj” dersine müfredatında yer alan dönemde zorunlu ders olarak kayıt olması esastır. Özel durumlarda danışman önerisi, Bölüm Başkanı onayı ve ilgili Fakülte Yönetim Kurulu Kararı ile öğrencinin “Staj” dersini almamasına karar verilebilir.</w:t>
      </w:r>
    </w:p>
    <w:p>
      <w:pPr>
        <w:spacing w:after="0" w:line="213" w:lineRule="exact"/>
        <w:rPr>
          <w:rFonts w:ascii="Times New Roman" w:cs="Times New Roman" w:eastAsia="Times New Roman" w:hAnsi="Times New Roman"/>
          <w:sz w:val="22"/>
          <w:szCs w:val="22"/>
          <w:color w:val="auto"/>
        </w:rPr>
      </w:pPr>
    </w:p>
    <w:p>
      <w:pPr>
        <w:jc w:val="both"/>
        <w:ind w:firstLine="760"/>
        <w:spacing w:after="0" w:line="273" w:lineRule="auto"/>
        <w:tabs>
          <w:tab w:leader="none" w:pos="1139" w:val="left"/>
        </w:tabs>
        <w:numPr>
          <w:ilvl w:val="1"/>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Öğrencinin talebi doğrultusunda, dersleriyle çakışmaması kaydıyla, Tümleşik Eğitim Komisyonunun onayıyla Üniversitemiz ile Tümleşik Eğitim yapılacak kurum/kuruluş arasında protokol bulunması durumunda, ilgili Fakülte Yönetim Kurulu Kararı ile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dönemi içerisinde Tümleşik Eğitim yapılabilir. Bu şekilde yapılacak tümleşik eğitimin esasları ilgili tümleşik eğit</w:t>
      </w:r>
      <w:r>
        <w:rPr>
          <w:rFonts w:ascii="Times New Roman" w:cs="Times New Roman" w:eastAsia="Times New Roman" w:hAnsi="Times New Roman"/>
          <w:sz w:val="22"/>
          <w:szCs w:val="22"/>
          <w:color w:val="auto"/>
        </w:rPr>
        <w:t>im</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komisyonunca belirlenir.</w:t>
      </w:r>
    </w:p>
    <w:p>
      <w:pPr>
        <w:spacing w:after="0" w:line="208" w:lineRule="exact"/>
        <w:rPr>
          <w:sz w:val="20"/>
          <w:szCs w:val="20"/>
          <w:color w:val="auto"/>
        </w:rPr>
      </w:pPr>
    </w:p>
    <w:p>
      <w:pPr>
        <w:ind w:left="1020" w:hanging="316"/>
        <w:spacing w:after="0"/>
        <w:tabs>
          <w:tab w:leader="none" w:pos="102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Mezuniyet için gerekli olan tümleşik eğitim süresi toplam 40 (kırk) iş günüdür.</w:t>
      </w:r>
    </w:p>
    <w:p>
      <w:pPr>
        <w:spacing w:after="0" w:line="245" w:lineRule="exact"/>
        <w:rPr>
          <w:rFonts w:ascii="Times New Roman" w:cs="Times New Roman" w:eastAsia="Times New Roman" w:hAnsi="Times New Roman"/>
          <w:sz w:val="22"/>
          <w:szCs w:val="22"/>
          <w:color w:val="auto"/>
        </w:rPr>
      </w:pPr>
    </w:p>
    <w:p>
      <w:pPr>
        <w:ind w:right="20" w:firstLine="704"/>
        <w:spacing w:after="0" w:line="269" w:lineRule="auto"/>
        <w:tabs>
          <w:tab w:leader="none" w:pos="1058"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Ön lisans diploması alarak Fakülteden ayrılmak isteyen öğrenciler, bölümün belirlediği zorunlu tümleşik eğitim süresinin yarısı kadar tümleşik eğitim yapmakla yükümlüdürler.</w:t>
      </w: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4" w:right="1406" w:bottom="0" w:gutter="0" w:footer="0" w:header="0"/>
        </w:sectPr>
      </w:pPr>
    </w:p>
    <w:bookmarkStart w:id="4" w:name="page5"/>
    <w:bookmarkEnd w:id="4"/>
    <w:p>
      <w:pPr>
        <w:ind w:right="20" w:firstLine="760"/>
        <w:spacing w:after="0" w:line="267" w:lineRule="auto"/>
        <w:tabs>
          <w:tab w:leader="none" w:pos="1082" w:val="left"/>
        </w:tabs>
        <w:numPr>
          <w:ilvl w:val="1"/>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Yaz okulunda ders alan öğrenciler, yaz okulu süresince, saatleri ile çakışmaması kaydıyla, ilgili Fakülte Yönetim Kurulu Kararı ile tümleşik eğitimlerini yapabilirler.</w:t>
      </w:r>
    </w:p>
    <w:p>
      <w:pPr>
        <w:spacing w:after="0" w:line="208" w:lineRule="exact"/>
        <w:rPr>
          <w:rFonts w:ascii="Times New Roman" w:cs="Times New Roman" w:eastAsia="Times New Roman" w:hAnsi="Times New Roman"/>
          <w:sz w:val="22"/>
          <w:szCs w:val="22"/>
          <w:color w:val="auto"/>
        </w:rPr>
      </w:pPr>
    </w:p>
    <w:p>
      <w:pPr>
        <w:ind w:left="1060" w:hanging="356"/>
        <w:spacing w:after="0"/>
        <w:tabs>
          <w:tab w:leader="none" w:pos="106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Tümleşik eğitim diğer dersler gibi öğretim üyesinin sorumluluğundaki bir ders olarak</w:t>
      </w:r>
    </w:p>
    <w:p>
      <w:pPr>
        <w:spacing w:after="0" w:line="39"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tanımlanır.</w:t>
      </w:r>
    </w:p>
    <w:p>
      <w:pPr>
        <w:spacing w:after="0" w:line="248" w:lineRule="exact"/>
        <w:rPr>
          <w:rFonts w:ascii="Times New Roman" w:cs="Times New Roman" w:eastAsia="Times New Roman" w:hAnsi="Times New Roman"/>
          <w:sz w:val="22"/>
          <w:szCs w:val="22"/>
          <w:color w:val="auto"/>
        </w:rPr>
      </w:pPr>
    </w:p>
    <w:p>
      <w:pPr>
        <w:ind w:right="20" w:firstLine="704"/>
        <w:spacing w:after="0" w:line="266" w:lineRule="auto"/>
        <w:tabs>
          <w:tab w:leader="none" w:pos="1084"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Öğrencilerin Tümleşik Eğitim durumları ilgili Fakültenin bölüm başkanlıkları, “Staj” dersinden sorumlu öğretim üyesi ile akademik danışmanları tarafından takip edilir.</w:t>
      </w:r>
    </w:p>
    <w:p>
      <w:pPr>
        <w:spacing w:after="0" w:line="221" w:lineRule="exact"/>
        <w:rPr>
          <w:rFonts w:ascii="Times New Roman" w:cs="Times New Roman" w:eastAsia="Times New Roman" w:hAnsi="Times New Roman"/>
          <w:sz w:val="22"/>
          <w:szCs w:val="22"/>
          <w:color w:val="auto"/>
        </w:rPr>
      </w:pPr>
    </w:p>
    <w:p>
      <w:pPr>
        <w:jc w:val="both"/>
        <w:ind w:right="20" w:firstLine="704"/>
        <w:spacing w:after="0" w:line="289" w:lineRule="auto"/>
        <w:tabs>
          <w:tab w:leader="none" w:pos="1017" w:val="left"/>
        </w:tabs>
        <w:numPr>
          <w:ilvl w:val="0"/>
          <w:numId w:val="1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Resmi tatil günleri tümleşik eğitim süresi kapsamına alınamaz. İşyerinde Cumartesi ve/veya Pazar günleri de çalışma yapılıyorsa, bu durumu belgelendirmek kaydıyla, öğrenci Cumartesi ve/veya Pazar günleri de (Cumartesi veya Pazar günlerinden sadece birine) tümleşik eğitimine devam </w:t>
      </w:r>
      <w:r>
        <w:rPr>
          <w:rFonts w:ascii="Times New Roman" w:cs="Times New Roman" w:eastAsia="Times New Roman" w:hAnsi="Times New Roman"/>
          <w:sz w:val="21"/>
          <w:szCs w:val="21"/>
          <w:color w:val="auto"/>
        </w:rPr>
        <w:t>edebilir.</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DÖRDÜNCÜ BÖLÜM</w:t>
      </w:r>
    </w:p>
    <w:p>
      <w:pPr>
        <w:spacing w:after="0" w:line="23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Tümleşik Eğitim Uygulama İlkeleri, Disiplin İşleri, Devam Zorunluluğu ve Sigorta İşlemleri</w:t>
      </w:r>
    </w:p>
    <w:p>
      <w:pPr>
        <w:spacing w:after="0" w:line="2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Uygulama İlkeleri</w:t>
      </w:r>
    </w:p>
    <w:p>
      <w:pPr>
        <w:spacing w:after="0" w:line="24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15 </w:t>
      </w:r>
      <w:r>
        <w:rPr>
          <w:rFonts w:ascii="Times New Roman" w:cs="Times New Roman" w:eastAsia="Times New Roman" w:hAnsi="Times New Roman"/>
          <w:sz w:val="22"/>
          <w:szCs w:val="22"/>
          <w:color w:val="auto"/>
        </w:rPr>
        <w:t>– (1) 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ğitime başlayan her öğrenci, Tümleşik Eğitim Değerlendirme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Formunu,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yaptığı birim</w:t>
      </w:r>
      <w:r>
        <w:rPr>
          <w:rFonts w:ascii="Times New Roman" w:cs="Times New Roman" w:eastAsia="Times New Roman" w:hAnsi="Times New Roman"/>
          <w:sz w:val="22"/>
          <w:szCs w:val="22"/>
          <w:color w:val="auto"/>
        </w:rPr>
        <w:t>in yetkilisine verir. Bu form,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bitiminde yetkili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kişi tarafından doldurulup onaylandıktan sonra ağzı kapalı ve üzerinde firma kaşesi/mühürü olan bir zarf içinde ilgili bölüme gönderilir. Kurum kaşesi ve onayı olmayan formlar değerlendirmede dikkate alınmaz.</w:t>
      </w:r>
    </w:p>
    <w:p>
      <w:pPr>
        <w:spacing w:after="0" w:line="215" w:lineRule="exact"/>
        <w:rPr>
          <w:sz w:val="20"/>
          <w:szCs w:val="20"/>
          <w:color w:val="auto"/>
        </w:rPr>
      </w:pPr>
    </w:p>
    <w:p>
      <w:pPr>
        <w:jc w:val="both"/>
        <w:ind w:firstLine="704"/>
        <w:spacing w:after="0" w:line="273" w:lineRule="auto"/>
        <w:tabs>
          <w:tab w:leader="none" w:pos="101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süresince yapılan çalışmalar, öğrenci tarafından Tümleşik Eğitim Raporuna düzenli olarak işlenir 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yerindeki yetkili kişinin unvanı belirtilerek, ilgilinin kaşe ve imzası ile onaylanır. İmza, kaşe, mühür veya tarihler bulunmayan, üzerinde silinti, kazıntı ve usulüne uygun olmayan düzeltme yapılan Tümleşik Eğitim </w:t>
      </w:r>
      <w:r>
        <w:rPr>
          <w:rFonts w:ascii="Times New Roman" w:cs="Times New Roman" w:eastAsia="Times New Roman" w:hAnsi="Times New Roman"/>
          <w:sz w:val="22"/>
          <w:szCs w:val="22"/>
          <w:color w:val="auto"/>
        </w:rPr>
        <w:t>R</w:t>
      </w:r>
      <w:r>
        <w:rPr>
          <w:rFonts w:ascii="Times New Roman" w:cs="Times New Roman" w:eastAsia="Times New Roman" w:hAnsi="Times New Roman"/>
          <w:sz w:val="22"/>
          <w:szCs w:val="22"/>
          <w:color w:val="auto"/>
        </w:rPr>
        <w:t>aporları kabul edilmez.</w:t>
      </w:r>
    </w:p>
    <w:p>
      <w:pPr>
        <w:spacing w:after="0" w:line="212" w:lineRule="exact"/>
        <w:rPr>
          <w:rFonts w:ascii="Times New Roman" w:cs="Times New Roman" w:eastAsia="Times New Roman" w:hAnsi="Times New Roman"/>
          <w:sz w:val="22"/>
          <w:szCs w:val="22"/>
          <w:color w:val="auto"/>
        </w:rPr>
      </w:pPr>
    </w:p>
    <w:p>
      <w:pPr>
        <w:jc w:val="both"/>
        <w:ind w:firstLine="704"/>
        <w:spacing w:after="0" w:line="272" w:lineRule="auto"/>
        <w:tabs>
          <w:tab w:leader="none" w:pos="102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Her öğrenci, Tümleşik Eğitim </w:t>
      </w:r>
      <w:r>
        <w:rPr>
          <w:rFonts w:ascii="Times New Roman" w:cs="Times New Roman" w:eastAsia="Times New Roman" w:hAnsi="Times New Roman"/>
          <w:sz w:val="22"/>
          <w:szCs w:val="22"/>
          <w:color w:val="auto"/>
        </w:rPr>
        <w:t>Raporunu</w:t>
      </w:r>
      <w:r>
        <w:rPr>
          <w:rFonts w:ascii="Times New Roman" w:cs="Times New Roman" w:eastAsia="Times New Roman" w:hAnsi="Times New Roman"/>
          <w:sz w:val="22"/>
          <w:szCs w:val="22"/>
          <w:color w:val="auto"/>
        </w:rPr>
        <w:t xml:space="preserve"> işyeri uygulamasının bitimini izleyen 14 (on dört</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gün içinde ilgili Tümleşik Eğitim Komisyonuna teslim etmek zorundadır. </w:t>
      </w:r>
      <w:r>
        <w:rPr>
          <w:rFonts w:ascii="Times New Roman" w:cs="Times New Roman" w:eastAsia="Times New Roman" w:hAnsi="Times New Roman"/>
          <w:sz w:val="22"/>
          <w:szCs w:val="22"/>
          <w:color w:val="auto"/>
        </w:rPr>
        <w:t>Raporunu bu tarihten sonra</w:t>
      </w:r>
      <w:r>
        <w:rPr>
          <w:rFonts w:ascii="Times New Roman" w:cs="Times New Roman" w:eastAsia="Times New Roman" w:hAnsi="Times New Roman"/>
          <w:sz w:val="22"/>
          <w:szCs w:val="22"/>
          <w:color w:val="auto"/>
        </w:rPr>
        <w:t xml:space="preserve"> teslim eden öğrencilerin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ğitimi kabul edilmez.</w:t>
      </w:r>
    </w:p>
    <w:p>
      <w:pPr>
        <w:spacing w:after="0" w:line="212" w:lineRule="exact"/>
        <w:rPr>
          <w:rFonts w:ascii="Times New Roman" w:cs="Times New Roman" w:eastAsia="Times New Roman" w:hAnsi="Times New Roman"/>
          <w:sz w:val="22"/>
          <w:szCs w:val="22"/>
          <w:color w:val="auto"/>
        </w:rPr>
      </w:pPr>
    </w:p>
    <w:p>
      <w:pPr>
        <w:ind w:right="20" w:firstLine="704"/>
        <w:spacing w:after="0" w:line="269" w:lineRule="auto"/>
        <w:tabs>
          <w:tab w:leader="none" w:pos="1017"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Öğrenciler, üretim ve hizmetle ilgili gizlilik gerektiren konularda başkalarına bilgi </w:t>
      </w:r>
      <w:r>
        <w:rPr>
          <w:rFonts w:ascii="Times New Roman" w:cs="Times New Roman" w:eastAsia="Times New Roman" w:hAnsi="Times New Roman"/>
          <w:sz w:val="22"/>
          <w:szCs w:val="22"/>
          <w:color w:val="auto"/>
        </w:rPr>
        <w:t>veremez;</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sendik</w:t>
      </w:r>
      <w:r>
        <w:rPr>
          <w:rFonts w:ascii="Times New Roman" w:cs="Times New Roman" w:eastAsia="Times New Roman" w:hAnsi="Times New Roman"/>
          <w:sz w:val="22"/>
          <w:szCs w:val="22"/>
          <w:color w:val="auto"/>
        </w:rPr>
        <w:t>al etkinliklere katılamazlar.</w:t>
      </w:r>
    </w:p>
    <w:p>
      <w:pPr>
        <w:spacing w:after="0" w:line="215" w:lineRule="exact"/>
        <w:rPr>
          <w:rFonts w:ascii="Times New Roman" w:cs="Times New Roman" w:eastAsia="Times New Roman" w:hAnsi="Times New Roman"/>
          <w:sz w:val="22"/>
          <w:szCs w:val="22"/>
          <w:color w:val="auto"/>
        </w:rPr>
      </w:pPr>
    </w:p>
    <w:p>
      <w:pPr>
        <w:jc w:val="both"/>
        <w:ind w:firstLine="704"/>
        <w:spacing w:after="0" w:line="273" w:lineRule="auto"/>
        <w:tabs>
          <w:tab w:leader="none" w:pos="1061"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Türk Hava Kurumu Üniversitesi, tümleşik eğitim yapan öğrencilere, işyeri uygulaması süresince herhangi bir ödeme yapmaz. 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süresince öğrenci ile işletme arasında yürürlükteki mevzu</w:t>
      </w:r>
      <w:r>
        <w:rPr>
          <w:rFonts w:ascii="Times New Roman" w:cs="Times New Roman" w:eastAsia="Times New Roman" w:hAnsi="Times New Roman"/>
          <w:sz w:val="22"/>
          <w:szCs w:val="22"/>
          <w:color w:val="auto"/>
        </w:rPr>
        <w:t>ata uygun olarak 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koşulları, izin, tarafların görev ve sorumlulukları, ödenecek ücret ve gerekli görülen diğer hususları da içeren bir sözleşme imzalanabilir. İşletme ile öğrenci arasında doğabilecek ihtilaflarda, Türk Hava Kurumu Üniversitesi taraf gösterilemez.</w:t>
      </w:r>
    </w:p>
    <w:p>
      <w:pPr>
        <w:spacing w:after="0" w:line="217" w:lineRule="exact"/>
        <w:rPr>
          <w:rFonts w:ascii="Times New Roman" w:cs="Times New Roman" w:eastAsia="Times New Roman" w:hAnsi="Times New Roman"/>
          <w:sz w:val="22"/>
          <w:szCs w:val="22"/>
          <w:color w:val="auto"/>
        </w:rPr>
      </w:pPr>
    </w:p>
    <w:p>
      <w:pPr>
        <w:jc w:val="both"/>
        <w:ind w:firstLine="704"/>
        <w:spacing w:after="0" w:line="273" w:lineRule="auto"/>
        <w:tabs>
          <w:tab w:leader="none" w:pos="1054"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ğitimlerini tamamlayan öğrencilerin</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değerlendirmesi öğrenci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transkriptlerine “Tümleşik Eğitim” olarak işlenir. 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ğitimi BAŞARILI/BAŞARISIZ bulunan öğrencilerin listesi Öğrenci İşleri Müdürlüğü’ne iletilmek üzere en geç Tümleşik Eğitimin yapıldığı dönemi takip eden yarıyıl ders kayıtları başlamadan önce Dekanlık </w:t>
      </w:r>
      <w:r>
        <w:rPr>
          <w:rFonts w:ascii="Times New Roman" w:cs="Times New Roman" w:eastAsia="Times New Roman" w:hAnsi="Times New Roman"/>
          <w:sz w:val="22"/>
          <w:szCs w:val="22"/>
          <w:color w:val="auto"/>
        </w:rPr>
        <w:t>Makam</w:t>
      </w:r>
      <w:r>
        <w:rPr>
          <w:rFonts w:ascii="Times New Roman" w:cs="Times New Roman" w:eastAsia="Times New Roman" w:hAnsi="Times New Roman"/>
          <w:sz w:val="22"/>
          <w:szCs w:val="22"/>
          <w:color w:val="auto"/>
        </w:rPr>
        <w:t xml:space="preserve">ına ilgili Bölüm Başkanlığınca </w:t>
      </w:r>
      <w:r>
        <w:rPr>
          <w:rFonts w:ascii="Times New Roman" w:cs="Times New Roman" w:eastAsia="Times New Roman" w:hAnsi="Times New Roman"/>
          <w:sz w:val="22"/>
          <w:szCs w:val="22"/>
          <w:color w:val="auto"/>
        </w:rPr>
        <w:t>bildirilir.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4" w:right="1406" w:bottom="0" w:gutter="0" w:footer="0" w:header="0"/>
        </w:sectPr>
      </w:pPr>
    </w:p>
    <w:bookmarkStart w:id="5" w:name="page6"/>
    <w:bookmarkEnd w:id="5"/>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Yapan Öğrencilerin Disiplin İşleri</w:t>
      </w:r>
    </w:p>
    <w:p>
      <w:pPr>
        <w:spacing w:after="0" w:line="24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2"/>
          <w:szCs w:val="22"/>
          <w:b w:val="1"/>
          <w:bCs w:val="1"/>
          <w:color w:val="auto"/>
        </w:rPr>
        <w:t xml:space="preserve">MADDE 16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Öğrenciler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süresinc</w:t>
      </w:r>
      <w:r>
        <w:rPr>
          <w:rFonts w:ascii="Times New Roman" w:cs="Times New Roman" w:eastAsia="Times New Roman" w:hAnsi="Times New Roman"/>
          <w:sz w:val="22"/>
          <w:szCs w:val="22"/>
          <w:color w:val="auto"/>
        </w:rPr>
        <w:t>e, 13/01/1985 tarihli ve 18634</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sayılı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Resmi Gazete’de yayımlanan Yükseköğretim Kurumları Öğrenci Disiplin Yönetmeliği hükümlerine;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yaptığı işyerlerinin çalışma ilkelerine, iş koşullarına, disiplin ve iş güvenliğine ilişkin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kurallarına ve yasal düzenlemelere uymak zorundadır.</w:t>
      </w:r>
    </w:p>
    <w:p>
      <w:pPr>
        <w:spacing w:after="0" w:line="216" w:lineRule="exact"/>
        <w:rPr>
          <w:sz w:val="20"/>
          <w:szCs w:val="20"/>
          <w:color w:val="auto"/>
        </w:rPr>
      </w:pPr>
    </w:p>
    <w:p>
      <w:pPr>
        <w:jc w:val="both"/>
        <w:ind w:firstLine="704"/>
        <w:spacing w:after="0" w:line="274" w:lineRule="auto"/>
        <w:tabs>
          <w:tab w:leader="none" w:pos="1149"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Öğrencinin, işyerinde çalışma düzenini veya kurallarını bozması veya işyerine maddi/manevi zarar vermesi halinde, işyerinin isteği ile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ğitimi sonlandırılarak geçersiz sayılır. Disipline aykırı hareketlerind</w:t>
      </w:r>
      <w:r>
        <w:rPr>
          <w:rFonts w:ascii="Times New Roman" w:cs="Times New Roman" w:eastAsia="Times New Roman" w:hAnsi="Times New Roman"/>
          <w:sz w:val="22"/>
          <w:szCs w:val="22"/>
          <w:color w:val="auto"/>
        </w:rPr>
        <w:t>en dol</w:t>
      </w:r>
      <w:r>
        <w:rPr>
          <w:rFonts w:ascii="Times New Roman" w:cs="Times New Roman" w:eastAsia="Times New Roman" w:hAnsi="Times New Roman"/>
          <w:sz w:val="22"/>
          <w:szCs w:val="22"/>
          <w:color w:val="auto"/>
        </w:rPr>
        <w:t xml:space="preserve">ayı, kurum tarafından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ğitimlerine son verilen veya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ğitimlerini tamamlamış olmalarına rağmen işyerinden “YETERSİZ/BAŞARISIZ” sicil alan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öğrencileri</w:t>
      </w:r>
      <w:r>
        <w:rPr>
          <w:rFonts w:ascii="Times New Roman" w:cs="Times New Roman" w:eastAsia="Times New Roman" w:hAnsi="Times New Roman"/>
          <w:sz w:val="22"/>
          <w:szCs w:val="22"/>
          <w:color w:val="auto"/>
        </w:rPr>
        <w:t>n 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ğitimleri geçersiz sayılır. Ayrıca,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ğitimlerin öğrenimin bir parçası olması nedeniyle, disipline aykırı hareketlerinden dolayı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ğitimine son verilmiş öğrenci hakkında disiplin </w:t>
      </w:r>
      <w:r>
        <w:rPr>
          <w:rFonts w:ascii="Times New Roman" w:cs="Times New Roman" w:eastAsia="Times New Roman" w:hAnsi="Times New Roman"/>
          <w:sz w:val="22"/>
          <w:szCs w:val="22"/>
          <w:color w:val="auto"/>
        </w:rPr>
        <w:t>s</w:t>
      </w:r>
      <w:r>
        <w:rPr>
          <w:rFonts w:ascii="Times New Roman" w:cs="Times New Roman" w:eastAsia="Times New Roman" w:hAnsi="Times New Roman"/>
          <w:sz w:val="22"/>
          <w:szCs w:val="22"/>
          <w:color w:val="auto"/>
        </w:rPr>
        <w:t>oruşturması açılması talebiyle Dekanlık makamına ilgili tümleşik eğitim komisyonu tarafından yazı yazılır.</w:t>
      </w:r>
    </w:p>
    <w:p>
      <w:pPr>
        <w:spacing w:after="0" w:line="213"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Sırasında Hastalık ve Kaza Durumu</w:t>
      </w:r>
    </w:p>
    <w:p>
      <w:pPr>
        <w:spacing w:after="0" w:line="243"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2"/>
          <w:szCs w:val="22"/>
          <w:b w:val="1"/>
          <w:bCs w:val="1"/>
          <w:color w:val="auto"/>
        </w:rPr>
        <w:t xml:space="preserve">MADDE 17 </w:t>
      </w:r>
      <w:r>
        <w:rPr>
          <w:rFonts w:ascii="Times New Roman" w:cs="Times New Roman" w:eastAsia="Times New Roman" w:hAnsi="Times New Roman"/>
          <w:sz w:val="22"/>
          <w:szCs w:val="22"/>
          <w:color w:val="auto"/>
        </w:rPr>
        <w:t>– (1) 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sırasında hastalanan veya hastalığı sebebiyle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ğitime devam edemeyen ya da bir kazaya uğrayan</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öğrencisinin işyeri uygulaması</w:t>
      </w:r>
      <w:r>
        <w:rPr>
          <w:rFonts w:ascii="Times New Roman" w:cs="Times New Roman" w:eastAsia="Times New Roman" w:hAnsi="Times New Roman"/>
          <w:sz w:val="22"/>
          <w:szCs w:val="22"/>
          <w:color w:val="auto"/>
        </w:rPr>
        <w:t xml:space="preserve"> kesilerek, durum ilgili birime bildirilir</w:t>
      </w:r>
      <w:r>
        <w:rPr>
          <w:rFonts w:ascii="Times New Roman" w:cs="Times New Roman" w:eastAsia="Times New Roman" w:hAnsi="Times New Roman"/>
          <w:sz w:val="22"/>
          <w:szCs w:val="22"/>
          <w:color w:val="auto"/>
        </w:rPr>
        <w:t>. İlgili birim tarafından öğrencinin</w:t>
      </w:r>
      <w:r>
        <w:rPr>
          <w:rFonts w:ascii="Times New Roman" w:cs="Times New Roman" w:eastAsia="Times New Roman" w:hAnsi="Times New Roman"/>
          <w:sz w:val="22"/>
          <w:szCs w:val="22"/>
          <w:color w:val="auto"/>
        </w:rPr>
        <w:t xml:space="preserve"> durumu ailesine bildirilir.</w:t>
      </w:r>
    </w:p>
    <w:p>
      <w:pPr>
        <w:spacing w:after="0" w:line="2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Eğitime Devam Zorunluluğu</w:t>
      </w:r>
    </w:p>
    <w:p>
      <w:pPr>
        <w:spacing w:after="0" w:line="24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18 </w:t>
      </w:r>
      <w:r>
        <w:rPr>
          <w:rFonts w:ascii="Times New Roman" w:cs="Times New Roman" w:eastAsia="Times New Roman" w:hAnsi="Times New Roman"/>
          <w:sz w:val="22"/>
          <w:szCs w:val="22"/>
          <w:color w:val="auto"/>
        </w:rPr>
        <w:t>– (1) 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yükümlülüğü bulunan öğrenci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işlemlerini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tamamlamadığı sürece mezun olamaz. Tümleş</w:t>
      </w:r>
      <w:r>
        <w:rPr>
          <w:rFonts w:ascii="Times New Roman" w:cs="Times New Roman" w:eastAsia="Times New Roman" w:hAnsi="Times New Roman"/>
          <w:sz w:val="22"/>
          <w:szCs w:val="22"/>
          <w:color w:val="auto"/>
        </w:rPr>
        <w:t>ik e</w:t>
      </w:r>
      <w:r>
        <w:rPr>
          <w:rFonts w:ascii="Times New Roman" w:cs="Times New Roman" w:eastAsia="Times New Roman" w:hAnsi="Times New Roman"/>
          <w:sz w:val="22"/>
          <w:szCs w:val="22"/>
          <w:color w:val="auto"/>
        </w:rPr>
        <w:t>ğitime devam zorunlu olu</w:t>
      </w:r>
      <w:r>
        <w:rPr>
          <w:rFonts w:ascii="Times New Roman" w:cs="Times New Roman" w:eastAsia="Times New Roman" w:hAnsi="Times New Roman"/>
          <w:sz w:val="22"/>
          <w:szCs w:val="22"/>
          <w:color w:val="auto"/>
        </w:rPr>
        <w:t>p,</w:t>
      </w:r>
      <w:r>
        <w:rPr>
          <w:rFonts w:ascii="Times New Roman" w:cs="Times New Roman" w:eastAsia="Times New Roman" w:hAnsi="Times New Roman"/>
          <w:sz w:val="22"/>
          <w:szCs w:val="22"/>
          <w:color w:val="auto"/>
        </w:rPr>
        <w:t xml:space="preserve"> 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 belirlenen sürede kesintisiz olarak tamamlanır. Aşağıda yer alan geçerli </w:t>
      </w:r>
      <w:r>
        <w:rPr>
          <w:rFonts w:ascii="Times New Roman" w:cs="Times New Roman" w:eastAsia="Times New Roman" w:hAnsi="Times New Roman"/>
          <w:sz w:val="22"/>
          <w:szCs w:val="22"/>
          <w:color w:val="auto"/>
        </w:rPr>
        <w:t>mazeretler nedeniyle devam</w:t>
      </w:r>
      <w:r>
        <w:rPr>
          <w:rFonts w:ascii="Times New Roman" w:cs="Times New Roman" w:eastAsia="Times New Roman" w:hAnsi="Times New Roman"/>
          <w:sz w:val="22"/>
          <w:szCs w:val="22"/>
          <w:color w:val="auto"/>
        </w:rPr>
        <w:t xml:space="preserve"> edilemeyen günler telafi edilmelidir.</w:t>
      </w:r>
    </w:p>
    <w:p>
      <w:pPr>
        <w:spacing w:after="0" w:line="203" w:lineRule="exact"/>
        <w:rPr>
          <w:sz w:val="20"/>
          <w:szCs w:val="20"/>
          <w:color w:val="auto"/>
        </w:rPr>
      </w:pPr>
    </w:p>
    <w:p>
      <w:pPr>
        <w:ind w:left="1020" w:hanging="316"/>
        <w:spacing w:after="0"/>
        <w:tabs>
          <w:tab w:leader="none" w:pos="102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Öğrenciler ancak aşağıdaki durumlarda mazeretli sayılırlar;</w:t>
      </w:r>
    </w:p>
    <w:p>
      <w:pPr>
        <w:spacing w:after="0" w:line="248" w:lineRule="exact"/>
        <w:rPr>
          <w:rFonts w:ascii="Times New Roman" w:cs="Times New Roman" w:eastAsia="Times New Roman" w:hAnsi="Times New Roman"/>
          <w:sz w:val="22"/>
          <w:szCs w:val="22"/>
          <w:color w:val="auto"/>
        </w:rPr>
      </w:pPr>
    </w:p>
    <w:p>
      <w:pPr>
        <w:ind w:right="20" w:firstLine="913"/>
        <w:spacing w:after="0" w:line="264" w:lineRule="auto"/>
        <w:tabs>
          <w:tab w:leader="none" w:pos="1133"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Öğrencinin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ğitime deva</w:t>
      </w:r>
      <w:r>
        <w:rPr>
          <w:rFonts w:ascii="Times New Roman" w:cs="Times New Roman" w:eastAsia="Times New Roman" w:hAnsi="Times New Roman"/>
          <w:sz w:val="22"/>
          <w:szCs w:val="22"/>
          <w:color w:val="auto"/>
        </w:rPr>
        <w:t>m edip edemey</w:t>
      </w:r>
      <w:r>
        <w:rPr>
          <w:rFonts w:ascii="Times New Roman" w:cs="Times New Roman" w:eastAsia="Times New Roman" w:hAnsi="Times New Roman"/>
          <w:sz w:val="22"/>
          <w:szCs w:val="22"/>
          <w:color w:val="auto"/>
        </w:rPr>
        <w:t>eceğini belirten resmi raporla belirlenmiş 5 iş gününe kadar hastalık hali.</w:t>
      </w:r>
    </w:p>
    <w:p>
      <w:pPr>
        <w:spacing w:after="0" w:line="24" w:lineRule="exact"/>
        <w:rPr>
          <w:rFonts w:ascii="Times New Roman" w:cs="Times New Roman" w:eastAsia="Times New Roman" w:hAnsi="Times New Roman"/>
          <w:sz w:val="22"/>
          <w:szCs w:val="22"/>
          <w:color w:val="auto"/>
        </w:rPr>
      </w:pPr>
    </w:p>
    <w:p>
      <w:pPr>
        <w:ind w:firstLine="913"/>
        <w:spacing w:after="0" w:line="269" w:lineRule="auto"/>
        <w:tabs>
          <w:tab w:leader="none" w:pos="1133"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Hastalık dışında işyeri Tümleşik Eğitim </w:t>
      </w:r>
      <w:r>
        <w:rPr>
          <w:rFonts w:ascii="Times New Roman" w:cs="Times New Roman" w:eastAsia="Times New Roman" w:hAnsi="Times New Roman"/>
          <w:sz w:val="22"/>
          <w:szCs w:val="22"/>
          <w:color w:val="auto"/>
        </w:rPr>
        <w:t>Sorumlu</w:t>
      </w:r>
      <w:r>
        <w:rPr>
          <w:rFonts w:ascii="Times New Roman" w:cs="Times New Roman" w:eastAsia="Times New Roman" w:hAnsi="Times New Roman"/>
          <w:sz w:val="22"/>
          <w:szCs w:val="22"/>
          <w:color w:val="auto"/>
        </w:rPr>
        <w:t xml:space="preserve">su tarafından uygun görülecek </w:t>
      </w:r>
      <w:r>
        <w:rPr>
          <w:rFonts w:ascii="Times New Roman" w:cs="Times New Roman" w:eastAsia="Times New Roman" w:hAnsi="Times New Roman"/>
          <w:sz w:val="22"/>
          <w:szCs w:val="22"/>
          <w:color w:val="auto"/>
        </w:rPr>
        <w:t>mazeretler</w:t>
      </w:r>
      <w:r>
        <w:rPr>
          <w:rFonts w:ascii="Times New Roman" w:cs="Times New Roman" w:eastAsia="Times New Roman" w:hAnsi="Times New Roman"/>
          <w:sz w:val="22"/>
          <w:szCs w:val="22"/>
          <w:color w:val="auto"/>
        </w:rPr>
        <w:t xml:space="preserve"> nedeniyle 3 iş gününe kadar olan devamsızlıklar.</w:t>
      </w:r>
    </w:p>
    <w:p>
      <w:pPr>
        <w:spacing w:after="0" w:line="215" w:lineRule="exact"/>
        <w:rPr>
          <w:rFonts w:ascii="Times New Roman" w:cs="Times New Roman" w:eastAsia="Times New Roman" w:hAnsi="Times New Roman"/>
          <w:sz w:val="22"/>
          <w:szCs w:val="22"/>
          <w:color w:val="auto"/>
        </w:rPr>
      </w:pPr>
    </w:p>
    <w:p>
      <w:pPr>
        <w:jc w:val="both"/>
        <w:ind w:firstLine="704"/>
        <w:spacing w:after="0" w:line="274" w:lineRule="auto"/>
        <w:tabs>
          <w:tab w:leader="none" w:pos="1055"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ğitimine </w:t>
      </w:r>
      <w:r>
        <w:rPr>
          <w:rFonts w:ascii="Times New Roman" w:cs="Times New Roman" w:eastAsia="Times New Roman" w:hAnsi="Times New Roman"/>
          <w:sz w:val="22"/>
          <w:szCs w:val="22"/>
          <w:color w:val="auto"/>
        </w:rPr>
        <w:t>asgari</w:t>
      </w:r>
      <w:r>
        <w:rPr>
          <w:rFonts w:ascii="Times New Roman" w:cs="Times New Roman" w:eastAsia="Times New Roman" w:hAnsi="Times New Roman"/>
          <w:sz w:val="22"/>
          <w:szCs w:val="22"/>
          <w:color w:val="auto"/>
        </w:rPr>
        <w:t xml:space="preserve"> 10 (on) işgünü kesintisiz olarak </w:t>
      </w:r>
      <w:r>
        <w:rPr>
          <w:rFonts w:ascii="Times New Roman" w:cs="Times New Roman" w:eastAsia="Times New Roman" w:hAnsi="Times New Roman"/>
          <w:sz w:val="22"/>
          <w:szCs w:val="22"/>
          <w:color w:val="auto"/>
        </w:rPr>
        <w:t>devam etme</w:t>
      </w:r>
      <w:r>
        <w:rPr>
          <w:rFonts w:ascii="Times New Roman" w:cs="Times New Roman" w:eastAsia="Times New Roman" w:hAnsi="Times New Roman"/>
          <w:sz w:val="22"/>
          <w:szCs w:val="22"/>
          <w:color w:val="auto"/>
        </w:rPr>
        <w:t xml:space="preserve">yen öğrenci hiç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yapmamış sayılır. 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süresi içerisinde hastalık, yakının kaybedilmesi vb.</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durumlarda işyerinin onayı ile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ğitime bir süre ar</w:t>
      </w:r>
      <w:r>
        <w:rPr>
          <w:rFonts w:ascii="Times New Roman" w:cs="Times New Roman" w:eastAsia="Times New Roman" w:hAnsi="Times New Roman"/>
          <w:sz w:val="22"/>
          <w:szCs w:val="22"/>
          <w:color w:val="auto"/>
        </w:rPr>
        <w:t>a verilmesinden kaynaklanan eksik g</w:t>
      </w:r>
      <w:r>
        <w:rPr>
          <w:rFonts w:ascii="Times New Roman" w:cs="Times New Roman" w:eastAsia="Times New Roman" w:hAnsi="Times New Roman"/>
          <w:sz w:val="22"/>
          <w:szCs w:val="22"/>
          <w:color w:val="auto"/>
        </w:rPr>
        <w:t xml:space="preserve">ünler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bitiş tarihini takip eden günlerde ve aynı</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dönemi içerisinde</w:t>
      </w:r>
      <w:r>
        <w:rPr>
          <w:rFonts w:ascii="Times New Roman" w:cs="Times New Roman" w:eastAsia="Times New Roman" w:hAnsi="Times New Roman"/>
          <w:sz w:val="22"/>
          <w:szCs w:val="22"/>
          <w:color w:val="auto"/>
        </w:rPr>
        <w:t xml:space="preserve"> tamamlanmak zoru</w:t>
      </w:r>
      <w:r>
        <w:rPr>
          <w:rFonts w:ascii="Times New Roman" w:cs="Times New Roman" w:eastAsia="Times New Roman" w:hAnsi="Times New Roman"/>
          <w:sz w:val="22"/>
          <w:szCs w:val="22"/>
          <w:color w:val="auto"/>
        </w:rPr>
        <w:t>ndadır. Aksi takdirde</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ğitimin sonraki yarıyıllarda tekrarlanması</w:t>
      </w:r>
      <w:r>
        <w:rPr>
          <w:rFonts w:ascii="Times New Roman" w:cs="Times New Roman" w:eastAsia="Times New Roman" w:hAnsi="Times New Roman"/>
          <w:sz w:val="22"/>
          <w:szCs w:val="22"/>
          <w:color w:val="auto"/>
        </w:rPr>
        <w:t xml:space="preserve"> zorunludur.</w:t>
      </w:r>
    </w:p>
    <w:p>
      <w:pPr>
        <w:spacing w:after="0" w:line="210"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Eğitimde Sigorta İşlemleri</w:t>
      </w:r>
    </w:p>
    <w:p>
      <w:pPr>
        <w:spacing w:after="0" w:line="241" w:lineRule="exact"/>
        <w:rPr>
          <w:sz w:val="20"/>
          <w:szCs w:val="20"/>
          <w:color w:val="auto"/>
        </w:rPr>
      </w:pPr>
    </w:p>
    <w:p>
      <w:pPr>
        <w:jc w:val="both"/>
        <w:ind w:firstLine="708"/>
        <w:spacing w:after="0" w:line="289" w:lineRule="auto"/>
        <w:rPr>
          <w:sz w:val="20"/>
          <w:szCs w:val="20"/>
          <w:color w:val="auto"/>
        </w:rPr>
      </w:pPr>
      <w:r>
        <w:rPr>
          <w:rFonts w:ascii="Times New Roman" w:cs="Times New Roman" w:eastAsia="Times New Roman" w:hAnsi="Times New Roman"/>
          <w:sz w:val="21"/>
          <w:szCs w:val="21"/>
          <w:b w:val="1"/>
          <w:bCs w:val="1"/>
          <w:color w:val="auto"/>
        </w:rPr>
        <w:t xml:space="preserve">MADDE 19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(1) 551</w:t>
      </w:r>
      <w:r>
        <w:rPr>
          <w:rFonts w:ascii="Times New Roman" w:cs="Times New Roman" w:eastAsia="Times New Roman" w:hAnsi="Times New Roman"/>
          <w:sz w:val="21"/>
          <w:szCs w:val="21"/>
          <w:color w:val="auto"/>
        </w:rPr>
        <w:t>0 Sayılı Sosyal Sigortalar ve Genel Sağlık Sigortası Kanunu’nun 5.</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maddesi b bendi uyarınca “yükseköğrenimleri sırasında zorunlu staja tabi tutulacak öğrenciler hakkında iş kazası ve meslek hastalığı sigortası uygulanır.” hükmü yer almaktadır. Ayrıca aynı kanunun “prim ödeme yükümlüsü” başlıklı 87. maddes</w:t>
      </w:r>
      <w:r>
        <w:rPr>
          <w:rFonts w:ascii="Times New Roman" w:cs="Times New Roman" w:eastAsia="Times New Roman" w:hAnsi="Times New Roman"/>
          <w:sz w:val="21"/>
          <w:szCs w:val="21"/>
          <w:color w:val="auto"/>
        </w:rPr>
        <w:t>inin birinci</w:t>
      </w:r>
      <w:r>
        <w:rPr>
          <w:rFonts w:ascii="Times New Roman" w:cs="Times New Roman" w:eastAsia="Times New Roman" w:hAnsi="Times New Roman"/>
          <w:sz w:val="21"/>
          <w:szCs w:val="21"/>
          <w:color w:val="auto"/>
        </w:rPr>
        <w:t xml:space="preserve"> fıkrası (e) bendinde “yüksek öğrenimleri sırasında </w:t>
      </w:r>
      <w:r>
        <w:rPr>
          <w:rFonts w:ascii="Times New Roman" w:cs="Times New Roman" w:eastAsia="Times New Roman" w:hAnsi="Times New Roman"/>
          <w:sz w:val="21"/>
          <w:szCs w:val="21"/>
          <w:color w:val="auto"/>
        </w:rPr>
        <w:t xml:space="preserve">zorunlu staja </w:t>
      </w:r>
      <w:r>
        <w:rPr>
          <w:rFonts w:ascii="Times New Roman" w:cs="Times New Roman" w:eastAsia="Times New Roman" w:hAnsi="Times New Roman"/>
          <w:sz w:val="21"/>
          <w:szCs w:val="21"/>
          <w:color w:val="auto"/>
        </w:rPr>
        <w:t>tabi tutulacak öğrenciler için öğrenim gördükleri yüksek öğretim kurumu” tarafından</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color w:val="auto"/>
        </w:rPr>
        <w:t xml:space="preserve">primlerinin ödeneceği </w:t>
      </w:r>
      <w:r>
        <w:rPr>
          <w:rFonts w:ascii="Times New Roman" w:cs="Times New Roman" w:eastAsia="Times New Roman" w:hAnsi="Times New Roman"/>
          <w:sz w:val="21"/>
          <w:szCs w:val="21"/>
          <w:color w:val="auto"/>
        </w:rPr>
        <w:t>belirtilmektedir. Bu nedenle 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 yapacak olan öğrencileri</w:t>
      </w:r>
      <w:r>
        <w:rPr>
          <w:rFonts w:ascii="Times New Roman" w:cs="Times New Roman" w:eastAsia="Times New Roman" w:hAnsi="Times New Roman"/>
          <w:sz w:val="21"/>
          <w:szCs w:val="21"/>
          <w:color w:val="auto"/>
        </w:rPr>
        <w:t>n t</w:t>
      </w:r>
      <w:r>
        <w:rPr>
          <w:rFonts w:ascii="Times New Roman" w:cs="Times New Roman" w:eastAsia="Times New Roman" w:hAnsi="Times New Roman"/>
          <w:sz w:val="21"/>
          <w:szCs w:val="21"/>
          <w:color w:val="auto"/>
        </w:rPr>
        <w:t>ümleşik</w:t>
      </w:r>
    </w:p>
    <w:p>
      <w:pPr>
        <w:spacing w:after="0" w:line="38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0" w:right="1406" w:bottom="0" w:gutter="0" w:footer="0" w:header="0"/>
        </w:sectPr>
      </w:pPr>
    </w:p>
    <w:bookmarkStart w:id="6" w:name="page7"/>
    <w:bookmarkEnd w:id="6"/>
    <w:p>
      <w:pPr>
        <w:ind w:right="20"/>
        <w:spacing w:after="0" w:line="267" w:lineRule="auto"/>
        <w:rPr>
          <w:sz w:val="20"/>
          <w:szCs w:val="20"/>
          <w:color w:val="auto"/>
        </w:rPr>
      </w:pP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süresince iş kazası ve meslek hastalığı sigortası Türk Hava Kurumu Üniversitesi tarafından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ödenmektedir.</w:t>
      </w:r>
    </w:p>
    <w:p>
      <w:pPr>
        <w:spacing w:after="0" w:line="220" w:lineRule="exact"/>
        <w:rPr>
          <w:sz w:val="20"/>
          <w:szCs w:val="20"/>
          <w:color w:val="auto"/>
        </w:rPr>
      </w:pPr>
    </w:p>
    <w:p>
      <w:pPr>
        <w:ind w:firstLine="704"/>
        <w:spacing w:after="0" w:line="266" w:lineRule="auto"/>
        <w:tabs>
          <w:tab w:leader="none" w:pos="1048"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w:t>
      </w:r>
      <w:r>
        <w:rPr>
          <w:rFonts w:ascii="Times New Roman" w:cs="Times New Roman" w:eastAsia="Times New Roman" w:hAnsi="Times New Roman"/>
          <w:sz w:val="22"/>
          <w:szCs w:val="22"/>
          <w:color w:val="auto"/>
        </w:rPr>
        <w:t>yeri ve 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tarihleri belli olan öğrenciler, Tümleşik Eğitim Kılavuzunda belirtilen işlemler doğrultusunda tümleşik eğitim süreçlerini izlerler.</w:t>
      </w:r>
    </w:p>
    <w:p>
      <w:pPr>
        <w:spacing w:after="0" w:line="221" w:lineRule="exact"/>
        <w:rPr>
          <w:rFonts w:ascii="Times New Roman" w:cs="Times New Roman" w:eastAsia="Times New Roman" w:hAnsi="Times New Roman"/>
          <w:sz w:val="22"/>
          <w:szCs w:val="22"/>
          <w:color w:val="auto"/>
        </w:rPr>
      </w:pPr>
    </w:p>
    <w:p>
      <w:pPr>
        <w:jc w:val="both"/>
        <w:ind w:firstLine="760"/>
        <w:spacing w:after="0" w:line="274" w:lineRule="auto"/>
        <w:tabs>
          <w:tab w:leader="none" w:pos="1082" w:val="left"/>
        </w:tabs>
        <w:numPr>
          <w:ilvl w:val="1"/>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Formda belirtilen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bilgilerinin zorunlu olmadıkça değiştirilmemesi gerekir.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Eğer bu tarihlerde değişiklik olursa,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ğitime yasal ve mücbir sebeplerden dolayı gidilemezse </w:t>
      </w:r>
      <w:r>
        <w:rPr>
          <w:rFonts w:ascii="Times New Roman" w:cs="Times New Roman" w:eastAsia="Times New Roman" w:hAnsi="Times New Roman"/>
          <w:sz w:val="22"/>
          <w:szCs w:val="22"/>
          <w:color w:val="auto"/>
        </w:rPr>
        <w:t>veya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ğitime başladıktan sonra</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yasal ve mücbir sebeplerden dolayı yarım</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bırakılırsa, öğrencinin bu durumu vakit geçirilmeden derhal </w:t>
      </w:r>
      <w:r>
        <w:rPr>
          <w:rFonts w:ascii="Times New Roman" w:cs="Times New Roman" w:eastAsia="Times New Roman" w:hAnsi="Times New Roman"/>
          <w:sz w:val="22"/>
          <w:szCs w:val="22"/>
          <w:color w:val="auto"/>
        </w:rPr>
        <w:t>b</w:t>
      </w:r>
      <w:r>
        <w:rPr>
          <w:rFonts w:ascii="Times New Roman" w:cs="Times New Roman" w:eastAsia="Times New Roman" w:hAnsi="Times New Roman"/>
          <w:sz w:val="22"/>
          <w:szCs w:val="22"/>
          <w:color w:val="auto"/>
        </w:rPr>
        <w:t xml:space="preserve">ölüm Tümleşik Eğitim Komisyonuna </w:t>
      </w:r>
      <w:r>
        <w:rPr>
          <w:rFonts w:ascii="Times New Roman" w:cs="Times New Roman" w:eastAsia="Times New Roman" w:hAnsi="Times New Roman"/>
          <w:sz w:val="22"/>
          <w:szCs w:val="22"/>
          <w:color w:val="auto"/>
        </w:rPr>
        <w:t>bildirmesi zorunludur</w:t>
      </w:r>
      <w:r>
        <w:rPr>
          <w:rFonts w:ascii="Times New Roman" w:cs="Times New Roman" w:eastAsia="Times New Roman" w:hAnsi="Times New Roman"/>
          <w:sz w:val="22"/>
          <w:szCs w:val="22"/>
          <w:color w:val="auto"/>
        </w:rPr>
        <w:t>. Öğrenci bilgi verme işlemlerini yerine getirmezse sorumluluğun tarafına</w:t>
      </w:r>
      <w:r>
        <w:rPr>
          <w:rFonts w:ascii="Times New Roman" w:cs="Times New Roman" w:eastAsia="Times New Roman" w:hAnsi="Times New Roman"/>
          <w:sz w:val="22"/>
          <w:szCs w:val="22"/>
          <w:color w:val="auto"/>
        </w:rPr>
        <w:t xml:space="preserve"> ait </w:t>
      </w:r>
      <w:r>
        <w:rPr>
          <w:rFonts w:ascii="Times New Roman" w:cs="Times New Roman" w:eastAsia="Times New Roman" w:hAnsi="Times New Roman"/>
          <w:sz w:val="22"/>
          <w:szCs w:val="22"/>
          <w:color w:val="auto"/>
        </w:rPr>
        <w:t>olduğunu kabul ve taahhüt etmiş sayılır.</w:t>
      </w:r>
    </w:p>
    <w:p>
      <w:pPr>
        <w:spacing w:after="0" w:line="212" w:lineRule="exact"/>
        <w:rPr>
          <w:sz w:val="20"/>
          <w:szCs w:val="20"/>
          <w:color w:val="auto"/>
        </w:rPr>
      </w:pPr>
    </w:p>
    <w:p>
      <w:pPr>
        <w:jc w:val="both"/>
        <w:ind w:right="20"/>
        <w:spacing w:after="0" w:line="269" w:lineRule="auto"/>
        <w:rPr>
          <w:sz w:val="20"/>
          <w:szCs w:val="20"/>
          <w:color w:val="auto"/>
        </w:rPr>
      </w:pPr>
      <w:r>
        <w:rPr>
          <w:rFonts w:ascii="Times New Roman" w:cs="Times New Roman" w:eastAsia="Times New Roman" w:hAnsi="Times New Roman"/>
          <w:sz w:val="22"/>
          <w:szCs w:val="22"/>
          <w:color w:val="auto"/>
        </w:rPr>
        <w:t>Y</w:t>
      </w:r>
      <w:r>
        <w:rPr>
          <w:rFonts w:ascii="Times New Roman" w:cs="Times New Roman" w:eastAsia="Times New Roman" w:hAnsi="Times New Roman"/>
          <w:sz w:val="22"/>
          <w:szCs w:val="22"/>
          <w:color w:val="auto"/>
        </w:rPr>
        <w:t>abancı Uyruklu öğrenciler, sigorta işlemleri için Tümleşik Eğitimi Kılavuzunda belirtilen adımları</w:t>
      </w:r>
      <w:r>
        <w:rPr>
          <w:rFonts w:ascii="Times New Roman" w:cs="Times New Roman" w:eastAsia="Times New Roman" w:hAnsi="Times New Roman"/>
          <w:sz w:val="22"/>
          <w:szCs w:val="22"/>
          <w:color w:val="auto"/>
        </w:rPr>
        <w:t xml:space="preserve"> izlerler.</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BEŞİNCİ BÖLÜM</w:t>
      </w:r>
    </w:p>
    <w:p>
      <w:pPr>
        <w:spacing w:after="0" w:line="237" w:lineRule="exact"/>
        <w:rPr>
          <w:sz w:val="20"/>
          <w:szCs w:val="20"/>
          <w:color w:val="auto"/>
        </w:rPr>
      </w:pPr>
    </w:p>
    <w:p>
      <w:pPr>
        <w:ind w:left="2180"/>
        <w:spacing w:after="0"/>
        <w:rPr>
          <w:sz w:val="20"/>
          <w:szCs w:val="20"/>
          <w:color w:val="auto"/>
        </w:rPr>
      </w:pPr>
      <w:r>
        <w:rPr>
          <w:rFonts w:ascii="Times New Roman" w:cs="Times New Roman" w:eastAsia="Times New Roman" w:hAnsi="Times New Roman"/>
          <w:sz w:val="22"/>
          <w:szCs w:val="22"/>
          <w:b w:val="1"/>
          <w:bCs w:val="1"/>
          <w:color w:val="auto"/>
        </w:rPr>
        <w:t>Tümleşik Eğitimin İzlenmesi ve Değerlendirilmesi</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Eğitimin İzlenmesi ve Değerlendirilmesi</w:t>
      </w:r>
    </w:p>
    <w:p>
      <w:pPr>
        <w:spacing w:after="0" w:line="241"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20 </w:t>
      </w:r>
      <w:r>
        <w:rPr>
          <w:rFonts w:ascii="Times New Roman" w:cs="Times New Roman" w:eastAsia="Times New Roman" w:hAnsi="Times New Roman"/>
          <w:sz w:val="22"/>
          <w:szCs w:val="22"/>
          <w:color w:val="auto"/>
        </w:rPr>
        <w:t>– (1) 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komisyonu üyeleri, gerekli görüldüğü durumlarda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ğitimin amacına ve kurallarına uygun yürütülmesi için gerekli izlemeyi yapabilir</w:t>
      </w:r>
      <w:r>
        <w:rPr>
          <w:rFonts w:ascii="Times New Roman" w:cs="Times New Roman" w:eastAsia="Times New Roman" w:hAnsi="Times New Roman"/>
          <w:sz w:val="22"/>
          <w:szCs w:val="22"/>
          <w:color w:val="auto"/>
        </w:rPr>
        <w:t xml:space="preserve"> veya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ğitimin yapıldığı işletme ile iletişime geçip,</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yapan öğrenci hakkında bilgi alarak</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öğrencilerin izlenmesini sağlayabilir.</w:t>
      </w:r>
    </w:p>
    <w:p>
      <w:pPr>
        <w:spacing w:after="0" w:line="215" w:lineRule="exact"/>
        <w:rPr>
          <w:sz w:val="20"/>
          <w:szCs w:val="20"/>
          <w:color w:val="auto"/>
        </w:rPr>
      </w:pPr>
    </w:p>
    <w:p>
      <w:pPr>
        <w:jc w:val="both"/>
        <w:ind w:firstLine="704"/>
        <w:spacing w:after="0" w:line="272" w:lineRule="auto"/>
        <w:tabs>
          <w:tab w:leader="none" w:pos="102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 </w:t>
      </w:r>
      <w:r>
        <w:rPr>
          <w:rFonts w:ascii="Times New Roman" w:cs="Times New Roman" w:eastAsia="Times New Roman" w:hAnsi="Times New Roman"/>
          <w:sz w:val="22"/>
          <w:szCs w:val="22"/>
          <w:color w:val="auto"/>
        </w:rPr>
        <w:t>ilgili</w:t>
      </w:r>
      <w:r>
        <w:rPr>
          <w:rFonts w:ascii="Times New Roman" w:cs="Times New Roman" w:eastAsia="Times New Roman" w:hAnsi="Times New Roman"/>
          <w:sz w:val="22"/>
          <w:szCs w:val="22"/>
          <w:color w:val="auto"/>
        </w:rPr>
        <w:t xml:space="preserve"> Tümleşik Eğitim Komisyonu marifetiyle görevlendirecek öğretim elemanları tarafından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ğitimin bitişini takip eden akademik yarıyıl içinde ders kayıtlarının başlangıç </w:t>
      </w:r>
      <w:r>
        <w:rPr>
          <w:rFonts w:ascii="Times New Roman" w:cs="Times New Roman" w:eastAsia="Times New Roman" w:hAnsi="Times New Roman"/>
          <w:sz w:val="22"/>
          <w:szCs w:val="22"/>
          <w:color w:val="auto"/>
        </w:rPr>
        <w:t>tarihine kadar</w:t>
      </w:r>
      <w:r>
        <w:rPr>
          <w:rFonts w:ascii="Times New Roman" w:cs="Times New Roman" w:eastAsia="Times New Roman" w:hAnsi="Times New Roman"/>
          <w:sz w:val="22"/>
          <w:szCs w:val="22"/>
          <w:color w:val="auto"/>
        </w:rPr>
        <w:t xml:space="preserve"> değerlendirilir. Bu değerlendirme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raporlarının incelenmesi şeklinde veya gerekli görüldüğünde sözlü sınavla da yapılabilir.</w:t>
      </w:r>
    </w:p>
    <w:p>
      <w:pPr>
        <w:spacing w:after="0" w:line="216" w:lineRule="exact"/>
        <w:rPr>
          <w:rFonts w:ascii="Times New Roman" w:cs="Times New Roman" w:eastAsia="Times New Roman" w:hAnsi="Times New Roman"/>
          <w:sz w:val="22"/>
          <w:szCs w:val="22"/>
          <w:color w:val="auto"/>
        </w:rPr>
      </w:pPr>
    </w:p>
    <w:p>
      <w:pPr>
        <w:jc w:val="both"/>
        <w:ind w:firstLine="704"/>
        <w:spacing w:after="0" w:line="271" w:lineRule="auto"/>
        <w:tabs>
          <w:tab w:leader="none" w:pos="1082"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sonuçları BAŞARILI/BAŞARISIZ olarak değerlendir</w:t>
      </w:r>
      <w:r>
        <w:rPr>
          <w:rFonts w:ascii="Times New Roman" w:cs="Times New Roman" w:eastAsia="Times New Roman" w:hAnsi="Times New Roman"/>
          <w:sz w:val="22"/>
          <w:szCs w:val="22"/>
          <w:color w:val="auto"/>
        </w:rPr>
        <w:t>ilir. Red edilen</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ğitimler için gerekçeli rapor hazırlanarak</w:t>
      </w:r>
      <w:r>
        <w:rPr>
          <w:rFonts w:ascii="Times New Roman" w:cs="Times New Roman" w:eastAsia="Times New Roman" w:hAnsi="Times New Roman"/>
          <w:sz w:val="22"/>
          <w:szCs w:val="22"/>
          <w:color w:val="auto"/>
        </w:rPr>
        <w:t xml:space="preserve"> t</w:t>
      </w:r>
      <w:r>
        <w:rPr>
          <w:rFonts w:ascii="Times New Roman" w:cs="Times New Roman" w:eastAsia="Times New Roman" w:hAnsi="Times New Roman"/>
          <w:sz w:val="22"/>
          <w:szCs w:val="22"/>
          <w:color w:val="auto"/>
        </w:rPr>
        <w: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değerlendirme tutanağına eklenir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ve öğrenci aynı koşullarla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ğitimi tekrarlar.</w:t>
      </w:r>
    </w:p>
    <w:p>
      <w:pPr>
        <w:spacing w:after="0" w:line="216" w:lineRule="exact"/>
        <w:rPr>
          <w:rFonts w:ascii="Times New Roman" w:cs="Times New Roman" w:eastAsia="Times New Roman" w:hAnsi="Times New Roman"/>
          <w:sz w:val="22"/>
          <w:szCs w:val="22"/>
          <w:color w:val="auto"/>
        </w:rPr>
      </w:pPr>
    </w:p>
    <w:p>
      <w:pPr>
        <w:jc w:val="both"/>
        <w:ind w:firstLine="704"/>
        <w:spacing w:after="0" w:line="289" w:lineRule="auto"/>
        <w:tabs>
          <w:tab w:leader="none" w:pos="1046" w:val="left"/>
        </w:tabs>
        <w:numPr>
          <w:ilvl w:val="0"/>
          <w:numId w:val="1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Sekizinci y</w:t>
      </w:r>
      <w:r>
        <w:rPr>
          <w:rFonts w:ascii="Times New Roman" w:cs="Times New Roman" w:eastAsia="Times New Roman" w:hAnsi="Times New Roman"/>
          <w:sz w:val="21"/>
          <w:szCs w:val="21"/>
          <w:color w:val="auto"/>
        </w:rPr>
        <w:t>arıyılı bitirdiği halde</w:t>
      </w:r>
      <w:r>
        <w:rPr>
          <w:rFonts w:ascii="Times New Roman" w:cs="Times New Roman" w:eastAsia="Times New Roman" w:hAnsi="Times New Roman"/>
          <w:sz w:val="21"/>
          <w:szCs w:val="21"/>
          <w:color w:val="auto"/>
        </w:rPr>
        <w:t xml:space="preserve"> t</w:t>
      </w:r>
      <w:r>
        <w:rPr>
          <w:rFonts w:ascii="Times New Roman" w:cs="Times New Roman" w:eastAsia="Times New Roman" w:hAnsi="Times New Roman"/>
          <w:sz w:val="21"/>
          <w:szCs w:val="21"/>
          <w:color w:val="auto"/>
        </w:rPr>
        <w:t>ümleşik</w:t>
      </w:r>
      <w:r>
        <w:rPr>
          <w:rFonts w:ascii="Times New Roman" w:cs="Times New Roman" w:eastAsia="Times New Roman" w:hAnsi="Times New Roman"/>
          <w:sz w:val="21"/>
          <w:szCs w:val="21"/>
          <w:color w:val="auto"/>
        </w:rPr>
        <w:t xml:space="preserve"> e</w:t>
      </w:r>
      <w:r>
        <w:rPr>
          <w:rFonts w:ascii="Times New Roman" w:cs="Times New Roman" w:eastAsia="Times New Roman" w:hAnsi="Times New Roman"/>
          <w:sz w:val="21"/>
          <w:szCs w:val="21"/>
          <w:color w:val="auto"/>
        </w:rPr>
        <w:t>ğitimden başarısız olmuş veya e</w:t>
      </w:r>
      <w:r>
        <w:rPr>
          <w:rFonts w:ascii="Times New Roman" w:cs="Times New Roman" w:eastAsia="Times New Roman" w:hAnsi="Times New Roman"/>
          <w:sz w:val="21"/>
          <w:szCs w:val="21"/>
          <w:color w:val="auto"/>
        </w:rPr>
        <w:t>ksik t</w:t>
      </w:r>
      <w:r>
        <w:rPr>
          <w:rFonts w:ascii="Times New Roman" w:cs="Times New Roman" w:eastAsia="Times New Roman" w:hAnsi="Times New Roman"/>
          <w:sz w:val="21"/>
          <w:szCs w:val="21"/>
          <w:color w:val="auto"/>
        </w:rPr>
        <w:t>ümleşik</w:t>
      </w:r>
      <w:r>
        <w:rPr>
          <w:rFonts w:ascii="Times New Roman" w:cs="Times New Roman" w:eastAsia="Times New Roman" w:hAnsi="Times New Roman"/>
          <w:sz w:val="21"/>
          <w:szCs w:val="21"/>
          <w:color w:val="auto"/>
        </w:rPr>
        <w:t xml:space="preserve"> e</w:t>
      </w:r>
      <w:r>
        <w:rPr>
          <w:rFonts w:ascii="Times New Roman" w:cs="Times New Roman" w:eastAsia="Times New Roman" w:hAnsi="Times New Roman"/>
          <w:sz w:val="21"/>
          <w:szCs w:val="21"/>
          <w:color w:val="auto"/>
        </w:rPr>
        <w:t>ğitimi olan öğrenciler, diğer derslere devam zorunlulukları da göz önüne alınarak,</w:t>
      </w:r>
      <w:r>
        <w:rPr>
          <w:rFonts w:ascii="Times New Roman" w:cs="Times New Roman" w:eastAsia="Times New Roman" w:hAnsi="Times New Roman"/>
          <w:sz w:val="21"/>
          <w:szCs w:val="21"/>
          <w:color w:val="auto"/>
        </w:rPr>
        <w:t xml:space="preserve"> ilgili </w:t>
      </w:r>
      <w:r>
        <w:rPr>
          <w:rFonts w:ascii="Times New Roman" w:cs="Times New Roman" w:eastAsia="Times New Roman" w:hAnsi="Times New Roman"/>
          <w:sz w:val="21"/>
          <w:szCs w:val="21"/>
          <w:color w:val="auto"/>
        </w:rPr>
        <w:t>Tümleşik</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color w:val="auto"/>
        </w:rPr>
        <w:t xml:space="preserve">Eğitim Komisyonunun onayının da alınmasıyla 9. ve daha üst yarıyıllarda da </w:t>
      </w:r>
      <w:r>
        <w:rPr>
          <w:rFonts w:ascii="Times New Roman" w:cs="Times New Roman" w:eastAsia="Times New Roman" w:hAnsi="Times New Roman"/>
          <w:sz w:val="21"/>
          <w:szCs w:val="21"/>
          <w:color w:val="auto"/>
        </w:rPr>
        <w:t>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 xml:space="preserve">ğitim yapabilirler. Öğrenci normal öğrenim süresi olan yedi yıl içerisinde </w:t>
      </w:r>
      <w:r>
        <w:rPr>
          <w:rFonts w:ascii="Times New Roman" w:cs="Times New Roman" w:eastAsia="Times New Roman" w:hAnsi="Times New Roman"/>
          <w:sz w:val="21"/>
          <w:szCs w:val="21"/>
          <w:color w:val="auto"/>
        </w:rPr>
        <w:t>t</w:t>
      </w:r>
      <w:r>
        <w:rPr>
          <w:rFonts w:ascii="Times New Roman" w:cs="Times New Roman" w:eastAsia="Times New Roman" w:hAnsi="Times New Roman"/>
          <w:sz w:val="21"/>
          <w:szCs w:val="21"/>
          <w:color w:val="auto"/>
        </w:rPr>
        <w:t xml:space="preserve">ümleşik </w:t>
      </w:r>
      <w:r>
        <w:rPr>
          <w:rFonts w:ascii="Times New Roman" w:cs="Times New Roman" w:eastAsia="Times New Roman" w:hAnsi="Times New Roman"/>
          <w:sz w:val="21"/>
          <w:szCs w:val="21"/>
          <w:color w:val="auto"/>
        </w:rPr>
        <w:t>e</w:t>
      </w:r>
      <w:r>
        <w:rPr>
          <w:rFonts w:ascii="Times New Roman" w:cs="Times New Roman" w:eastAsia="Times New Roman" w:hAnsi="Times New Roman"/>
          <w:sz w:val="21"/>
          <w:szCs w:val="21"/>
          <w:color w:val="auto"/>
        </w:rPr>
        <w:t>ğitimini tamamlamalıdır.</w:t>
      </w:r>
    </w:p>
    <w:p>
      <w:pPr>
        <w:spacing w:after="0" w:line="200" w:lineRule="exact"/>
        <w:rPr>
          <w:rFonts w:ascii="Times New Roman" w:cs="Times New Roman" w:eastAsia="Times New Roman" w:hAnsi="Times New Roman"/>
          <w:sz w:val="21"/>
          <w:szCs w:val="21"/>
          <w:color w:val="auto"/>
        </w:rPr>
      </w:pPr>
    </w:p>
    <w:p>
      <w:pPr>
        <w:ind w:firstLine="704"/>
        <w:spacing w:after="0" w:line="266" w:lineRule="auto"/>
        <w:tabs>
          <w:tab w:leader="none" w:pos="1043"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sorumluluğunu başarı ile tamamlayan öğrencilerin durumu ilgili </w:t>
      </w:r>
      <w:r>
        <w:rPr>
          <w:rFonts w:ascii="Times New Roman" w:cs="Times New Roman" w:eastAsia="Times New Roman" w:hAnsi="Times New Roman"/>
          <w:sz w:val="22"/>
          <w:szCs w:val="22"/>
          <w:color w:val="auto"/>
        </w:rPr>
        <w:t>f</w:t>
      </w:r>
      <w:r>
        <w:rPr>
          <w:rFonts w:ascii="Times New Roman" w:cs="Times New Roman" w:eastAsia="Times New Roman" w:hAnsi="Times New Roman"/>
          <w:sz w:val="22"/>
          <w:szCs w:val="22"/>
          <w:color w:val="auto"/>
        </w:rPr>
        <w:t>akülte tarafından Öğrenci İşleri Müdürlüğü’ne bildiril</w:t>
      </w:r>
      <w:r>
        <w:rPr>
          <w:rFonts w:ascii="Times New Roman" w:cs="Times New Roman" w:eastAsia="Times New Roman" w:hAnsi="Times New Roman"/>
          <w:sz w:val="22"/>
          <w:szCs w:val="22"/>
          <w:color w:val="auto"/>
        </w:rPr>
        <w:t>ir.</w:t>
      </w:r>
    </w:p>
    <w:p>
      <w:pPr>
        <w:spacing w:after="0" w:line="221" w:lineRule="exact"/>
        <w:rPr>
          <w:rFonts w:ascii="Times New Roman" w:cs="Times New Roman" w:eastAsia="Times New Roman" w:hAnsi="Times New Roman"/>
          <w:sz w:val="22"/>
          <w:szCs w:val="22"/>
          <w:color w:val="auto"/>
        </w:rPr>
      </w:pPr>
    </w:p>
    <w:p>
      <w:pPr>
        <w:jc w:val="both"/>
        <w:ind w:firstLine="704"/>
        <w:spacing w:after="0" w:line="271" w:lineRule="auto"/>
        <w:tabs>
          <w:tab w:leader="none" w:pos="102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 ilgili her türlü belge,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değerlendirme toplantısından sonra </w:t>
      </w:r>
      <w:r>
        <w:rPr>
          <w:rFonts w:ascii="Times New Roman" w:cs="Times New Roman" w:eastAsia="Times New Roman" w:hAnsi="Times New Roman"/>
          <w:sz w:val="22"/>
          <w:szCs w:val="22"/>
          <w:color w:val="auto"/>
        </w:rPr>
        <w:t>b</w:t>
      </w:r>
      <w:r>
        <w:rPr>
          <w:rFonts w:ascii="Times New Roman" w:cs="Times New Roman" w:eastAsia="Times New Roman" w:hAnsi="Times New Roman"/>
          <w:sz w:val="22"/>
          <w:szCs w:val="22"/>
          <w:color w:val="auto"/>
        </w:rPr>
        <w:t>ölüm arşivinde saklanmak üzere</w:t>
      </w:r>
      <w:r>
        <w:rPr>
          <w:rFonts w:ascii="Times New Roman" w:cs="Times New Roman" w:eastAsia="Times New Roman" w:hAnsi="Times New Roman"/>
          <w:sz w:val="22"/>
          <w:szCs w:val="22"/>
          <w:color w:val="auto"/>
        </w:rPr>
        <w:t xml:space="preserve"> b</w:t>
      </w:r>
      <w:r>
        <w:rPr>
          <w:rFonts w:ascii="Times New Roman" w:cs="Times New Roman" w:eastAsia="Times New Roman" w:hAnsi="Times New Roman"/>
          <w:sz w:val="22"/>
          <w:szCs w:val="22"/>
          <w:color w:val="auto"/>
        </w:rPr>
        <w:t>ölüme teslim edilir. Tümleşik</w:t>
      </w:r>
      <w:r>
        <w:rPr>
          <w:rFonts w:ascii="Times New Roman" w:cs="Times New Roman" w:eastAsia="Times New Roman" w:hAnsi="Times New Roman"/>
          <w:sz w:val="22"/>
          <w:szCs w:val="22"/>
          <w:color w:val="auto"/>
        </w:rPr>
        <w:t xml:space="preserve"> e</w:t>
      </w:r>
      <w:r>
        <w:rPr>
          <w:rFonts w:ascii="Times New Roman" w:cs="Times New Roman" w:eastAsia="Times New Roman" w:hAnsi="Times New Roman"/>
          <w:sz w:val="22"/>
          <w:szCs w:val="22"/>
          <w:color w:val="auto"/>
        </w:rPr>
        <w:t>ğitim raporları öğrencinin ilişiği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kesildikten sonra üç yıl süreyle saklanır.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p>
      <w:pPr>
        <w:sectPr>
          <w:pgSz w:w="11900" w:h="16838" w:orient="portrait"/>
          <w:cols w:equalWidth="0" w:num="1">
            <w:col w:w="9080"/>
          </w:cols>
          <w:pgMar w:left="1420" w:top="1234" w:right="1406" w:bottom="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22"/>
          <w:szCs w:val="22"/>
          <w:b w:val="1"/>
          <w:bCs w:val="1"/>
          <w:color w:val="auto"/>
        </w:rPr>
        <w:t xml:space="preserve">ALTINCI </w:t>
      </w:r>
      <w:r>
        <w:rPr>
          <w:rFonts w:ascii="Times New Roman" w:cs="Times New Roman" w:eastAsia="Times New Roman" w:hAnsi="Times New Roman"/>
          <w:sz w:val="22"/>
          <w:szCs w:val="22"/>
          <w:b w:val="1"/>
          <w:bCs w:val="1"/>
          <w:color w:val="auto"/>
        </w:rPr>
        <w:t>BÖLÜM</w:t>
      </w:r>
    </w:p>
    <w:p>
      <w:pPr>
        <w:spacing w:after="0" w:line="239"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22"/>
          <w:szCs w:val="22"/>
          <w:b w:val="1"/>
          <w:bCs w:val="1"/>
          <w:color w:val="auto"/>
        </w:rPr>
        <w:t>Tümleşik Eğitim Muafiyet Talebi ve Değerlendirilmesi</w:t>
      </w:r>
    </w:p>
    <w:p>
      <w:pPr>
        <w:spacing w:after="0" w:line="23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Tümleşik Eğitim Muafiyet Talebi</w:t>
      </w:r>
    </w:p>
    <w:p>
      <w:pPr>
        <w:spacing w:after="0" w:line="243"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MADDE 21 </w:t>
      </w:r>
      <w:r>
        <w:rPr>
          <w:rFonts w:ascii="Times New Roman" w:cs="Times New Roman" w:eastAsia="Times New Roman" w:hAnsi="Times New Roman"/>
          <w:sz w:val="22"/>
          <w:szCs w:val="22"/>
          <w:color w:val="auto"/>
        </w:rPr>
        <w:t>– (1) Tümleşik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programlarının uygulanması üniversiteler arasında farklılık</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gösterdiğinden, dikey geçiş yapan öğrencilerin daha önce yapmış oldukları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 transfer edilemez. Bu öğrenciler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ğitimlerini Türk Hava Kurumu Üniversitesi Tümleşik Eğitim Yönergesi’ne uygun şekilde yeniden yaparlar.</w:t>
      </w:r>
    </w:p>
    <w:p>
      <w:pPr>
        <w:spacing w:after="0" w:line="212" w:lineRule="exact"/>
        <w:rPr>
          <w:sz w:val="20"/>
          <w:szCs w:val="20"/>
          <w:color w:val="auto"/>
        </w:rPr>
      </w:pPr>
    </w:p>
    <w:p>
      <w:pPr>
        <w:jc w:val="both"/>
        <w:ind w:firstLine="704"/>
        <w:spacing w:after="0" w:line="274" w:lineRule="auto"/>
        <w:tabs>
          <w:tab w:leader="none" w:pos="102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Daha önce herhangi bir öğretim kurumunda lisans öğrenimi görürken öğrencilerin başarmış oldukları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ğitimler nedeniyle bölümdeki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ğitimlerden muaf olma yolundaki başvurular,</w:t>
      </w:r>
      <w:r>
        <w:rPr>
          <w:rFonts w:ascii="Times New Roman" w:cs="Times New Roman" w:eastAsia="Times New Roman" w:hAnsi="Times New Roman"/>
          <w:sz w:val="22"/>
          <w:szCs w:val="22"/>
          <w:color w:val="auto"/>
        </w:rPr>
        <w:t xml:space="preserve"> ilgili </w:t>
      </w:r>
      <w:r>
        <w:rPr>
          <w:rFonts w:ascii="Times New Roman" w:cs="Times New Roman" w:eastAsia="Times New Roman" w:hAnsi="Times New Roman"/>
          <w:sz w:val="22"/>
          <w:szCs w:val="22"/>
          <w:color w:val="auto"/>
        </w:rPr>
        <w:t>Tümleşik Eğitim Komisyonunca değerlendirilir.</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 xml:space="preserve">İlgili Tümleşik Eğitim Komisyonu ve Bölüm Başkanlığının uygun görmesi halinde,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 muafiyeti Fakülte Yönetim Kurulunda görüşülerek karara bağlanır.</w:t>
      </w:r>
    </w:p>
    <w:p>
      <w:pPr>
        <w:spacing w:after="0" w:line="210" w:lineRule="exact"/>
        <w:rPr>
          <w:rFonts w:ascii="Times New Roman" w:cs="Times New Roman" w:eastAsia="Times New Roman" w:hAnsi="Times New Roman"/>
          <w:sz w:val="22"/>
          <w:szCs w:val="22"/>
          <w:color w:val="auto"/>
        </w:rPr>
      </w:pPr>
    </w:p>
    <w:p>
      <w:pPr>
        <w:ind w:firstLine="704"/>
        <w:spacing w:after="0" w:line="269" w:lineRule="auto"/>
        <w:tabs>
          <w:tab w:leader="none" w:pos="1029"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Çift Ana Dal yapan öğrenciler sadece ana dalları ile ilgili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 xml:space="preserve">ğitim uygulamasından sorumludurlar, ikinci ana dal için </w:t>
      </w:r>
      <w:r>
        <w:rPr>
          <w:rFonts w:ascii="Times New Roman" w:cs="Times New Roman" w:eastAsia="Times New Roman" w:hAnsi="Times New Roman"/>
          <w:sz w:val="22"/>
          <w:szCs w:val="22"/>
          <w:color w:val="auto"/>
        </w:rPr>
        <w:t>t</w:t>
      </w:r>
      <w:r>
        <w:rPr>
          <w:rFonts w:ascii="Times New Roman" w:cs="Times New Roman" w:eastAsia="Times New Roman" w:hAnsi="Times New Roman"/>
          <w:sz w:val="22"/>
          <w:szCs w:val="22"/>
          <w:color w:val="auto"/>
        </w:rPr>
        <w:t xml:space="preserve">ümleşik </w:t>
      </w:r>
      <w:r>
        <w:rPr>
          <w:rFonts w:ascii="Times New Roman" w:cs="Times New Roman" w:eastAsia="Times New Roman" w:hAnsi="Times New Roman"/>
          <w:sz w:val="22"/>
          <w:szCs w:val="22"/>
          <w:color w:val="auto"/>
        </w:rPr>
        <w:t>e</w:t>
      </w:r>
      <w:r>
        <w:rPr>
          <w:rFonts w:ascii="Times New Roman" w:cs="Times New Roman" w:eastAsia="Times New Roman" w:hAnsi="Times New Roman"/>
          <w:sz w:val="22"/>
          <w:szCs w:val="22"/>
          <w:color w:val="auto"/>
        </w:rPr>
        <w:t>ğitime katıl</w:t>
      </w:r>
      <w:r>
        <w:rPr>
          <w:rFonts w:ascii="Times New Roman" w:cs="Times New Roman" w:eastAsia="Times New Roman" w:hAnsi="Times New Roman"/>
          <w:sz w:val="22"/>
          <w:szCs w:val="22"/>
          <w:color w:val="auto"/>
        </w:rPr>
        <w:t>ma mecburiyeti yoktur.</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YEDİNCİ BÖLÜM</w:t>
      </w:r>
    </w:p>
    <w:p>
      <w:pPr>
        <w:spacing w:after="0" w:line="23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Çeşitli ve Son Hükümler</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Hüküm Bulunmayan Haller</w:t>
      </w:r>
    </w:p>
    <w:p>
      <w:pPr>
        <w:spacing w:after="0" w:line="241"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2"/>
          <w:szCs w:val="22"/>
          <w:b w:val="1"/>
          <w:bCs w:val="1"/>
          <w:color w:val="auto"/>
        </w:rPr>
        <w:t xml:space="preserve">MADDE 22 </w:t>
      </w:r>
      <w:r>
        <w:rPr>
          <w:rFonts w:ascii="Times New Roman" w:cs="Times New Roman" w:eastAsia="Times New Roman" w:hAnsi="Times New Roman"/>
          <w:sz w:val="22"/>
          <w:szCs w:val="22"/>
          <w:color w:val="auto"/>
        </w:rPr>
        <w:t>– (1) Bu Yönergede hüküm bulunmayan hallerde, Üniversite Senatosunca alınan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kararlar uygulanır.</w:t>
      </w:r>
    </w:p>
    <w:p>
      <w:pPr>
        <w:spacing w:after="0" w:line="215" w:lineRule="exact"/>
        <w:rPr>
          <w:sz w:val="20"/>
          <w:szCs w:val="20"/>
          <w:color w:val="auto"/>
        </w:rPr>
      </w:pPr>
    </w:p>
    <w:p>
      <w:pPr>
        <w:jc w:val="both"/>
        <w:ind w:firstLine="708"/>
        <w:spacing w:after="0" w:line="273" w:lineRule="auto"/>
        <w:rPr>
          <w:sz w:val="20"/>
          <w:szCs w:val="20"/>
          <w:color w:val="auto"/>
        </w:rPr>
      </w:pPr>
      <w:r>
        <w:rPr>
          <w:rFonts w:ascii="Times New Roman" w:cs="Times New Roman" w:eastAsia="Times New Roman" w:hAnsi="Times New Roman"/>
          <w:sz w:val="22"/>
          <w:szCs w:val="22"/>
          <w:b w:val="1"/>
          <w:bCs w:val="1"/>
          <w:color w:val="auto"/>
        </w:rPr>
        <w:t xml:space="preserve">GEÇİCİ MADDE 1 – </w:t>
      </w:r>
      <w:r>
        <w:rPr>
          <w:rFonts w:ascii="Times New Roman" w:cs="Times New Roman" w:eastAsia="Times New Roman" w:hAnsi="Times New Roman"/>
          <w:sz w:val="22"/>
          <w:szCs w:val="22"/>
          <w:color w:val="auto"/>
        </w:rPr>
        <w:t>(1) Bu Yönergenin “Tümleşik Eğitime Başlama ve Tümleşik Eğitim</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Süresi” başlıklı 14. maddesi üzerinde yapılan değişiklikler 2018</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2019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yılı bahar döneminden itibaren uygulanacak olup öğrenciler lehine hükümlerinin uygulanmasına ilgili Yönetim Kurulları karar verebilir.</w:t>
      </w:r>
    </w:p>
    <w:p>
      <w:pPr>
        <w:spacing w:after="0" w:line="20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Yürürlük</w:t>
      </w:r>
    </w:p>
    <w:p>
      <w:pPr>
        <w:spacing w:after="0" w:line="243" w:lineRule="exact"/>
        <w:rPr>
          <w:sz w:val="20"/>
          <w:szCs w:val="20"/>
          <w:color w:val="auto"/>
        </w:rPr>
      </w:pPr>
    </w:p>
    <w:p>
      <w:pPr>
        <w:jc w:val="both"/>
        <w:ind w:firstLine="708"/>
        <w:spacing w:after="0" w:line="267" w:lineRule="auto"/>
        <w:rPr>
          <w:sz w:val="20"/>
          <w:szCs w:val="20"/>
          <w:color w:val="auto"/>
        </w:rPr>
      </w:pPr>
      <w:r>
        <w:rPr>
          <w:rFonts w:ascii="Times New Roman" w:cs="Times New Roman" w:eastAsia="Times New Roman" w:hAnsi="Times New Roman"/>
          <w:sz w:val="22"/>
          <w:szCs w:val="22"/>
          <w:b w:val="1"/>
          <w:bCs w:val="1"/>
          <w:color w:val="auto"/>
        </w:rPr>
        <w:t xml:space="preserve">MADDE 23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Yönerge, Üniversite Senatosunun kabulü ve Mütevelli Heyet onayından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sonra yürürlüğe girer.</w:t>
      </w:r>
    </w:p>
    <w:p>
      <w:pPr>
        <w:spacing w:after="0" w:line="2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Yürütme</w:t>
      </w:r>
    </w:p>
    <w:p>
      <w:pPr>
        <w:spacing w:after="0" w:line="23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MADDE 24 </w:t>
      </w:r>
      <w:r>
        <w:rPr>
          <w:rFonts w:ascii="Times New Roman" w:cs="Times New Roman" w:eastAsia="Times New Roman" w:hAnsi="Times New Roman"/>
          <w:sz w:val="22"/>
          <w:szCs w:val="22"/>
          <w:color w:val="auto"/>
        </w:rPr>
        <w:t>– (1) Bu Yönerge, Türk Hava Kurumu Üniversitesi Rektörü tarafından yürütülür.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w:t>
      </w:r>
    </w:p>
    <w:p>
      <w:pPr>
        <w:jc w:val="right"/>
        <w:spacing w:after="0"/>
        <w:rPr>
          <w:sz w:val="20"/>
          <w:szCs w:val="20"/>
          <w:color w:val="auto"/>
        </w:rPr>
      </w:pPr>
      <w:r>
        <w:rPr>
          <w:rFonts w:ascii="Times New Roman" w:cs="Times New Roman" w:eastAsia="Times New Roman" w:hAnsi="Times New Roman"/>
          <w:sz w:val="20"/>
          <w:szCs w:val="20"/>
          <w:color w:val="auto"/>
        </w:rPr>
        <w:t>Senato K.T. / No: 10.01.2012/01</w:t>
      </w:r>
    </w:p>
    <w:p>
      <w:pPr>
        <w:jc w:val="right"/>
        <w:ind w:right="20"/>
        <w:spacing w:after="0"/>
        <w:rPr>
          <w:sz w:val="20"/>
          <w:szCs w:val="20"/>
          <w:color w:val="auto"/>
        </w:rPr>
      </w:pPr>
      <w:r>
        <w:rPr>
          <w:rFonts w:ascii="Times New Roman" w:cs="Times New Roman" w:eastAsia="Times New Roman" w:hAnsi="Times New Roman"/>
          <w:sz w:val="20"/>
          <w:szCs w:val="20"/>
          <w:color w:val="auto"/>
        </w:rPr>
        <w:t>Revizyon Senato K.T. / No: 10.05.2013/10</w:t>
      </w:r>
    </w:p>
    <w:p>
      <w:pPr>
        <w:jc w:val="right"/>
        <w:ind w:right="20"/>
        <w:spacing w:after="0"/>
        <w:rPr>
          <w:sz w:val="20"/>
          <w:szCs w:val="20"/>
          <w:color w:val="auto"/>
        </w:rPr>
      </w:pPr>
      <w:r>
        <w:rPr>
          <w:rFonts w:ascii="Times New Roman" w:cs="Times New Roman" w:eastAsia="Times New Roman" w:hAnsi="Times New Roman"/>
          <w:sz w:val="20"/>
          <w:szCs w:val="20"/>
          <w:color w:val="auto"/>
        </w:rPr>
        <w:t>17.05.2019/11</w:t>
      </w:r>
    </w:p>
    <w:sectPr>
      <w:pgSz w:w="11900" w:h="16838" w:orient="portrait"/>
      <w:cols w:equalWidth="0" w:num="1">
        <w:col w:w="9080"/>
      </w:cols>
      <w:pgMar w:left="1420" w:top="1230" w:right="1406"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16231B"/>
    <w:multiLevelType w:val="hybridMultilevel"/>
    <w:lvl w:ilvl="0">
      <w:lvlJc w:val="left"/>
      <w:lvlText w:val="%1)"/>
      <w:numFmt w:val="lowerLetter"/>
      <w:start w:val="1"/>
    </w:lvl>
  </w:abstractNum>
  <w:abstractNum w:abstractNumId="1">
    <w:nsid w:val="1F16E9E8"/>
    <w:multiLevelType w:val="hybridMultilevel"/>
    <w:lvl w:ilvl="0">
      <w:lvlJc w:val="left"/>
      <w:lvlText w:val="%1)"/>
      <w:numFmt w:val="lowerLetter"/>
      <w:start w:val="4"/>
    </w:lvl>
  </w:abstractNum>
  <w:abstractNum w:abstractNumId="2">
    <w:nsid w:val="1190CDE7"/>
    <w:multiLevelType w:val="hybridMultilevel"/>
    <w:lvl w:ilvl="0">
      <w:lvlJc w:val="left"/>
      <w:lvlText w:val="(%1)"/>
      <w:numFmt w:val="decimal"/>
      <w:start w:val="2"/>
    </w:lvl>
    <w:lvl w:ilvl="1">
      <w:lvlJc w:val="left"/>
      <w:lvlText w:val="%2)"/>
      <w:numFmt w:val="lowerLetter"/>
      <w:start w:val="1"/>
    </w:lvl>
  </w:abstractNum>
  <w:abstractNum w:abstractNumId="3">
    <w:nsid w:val="66EF438D"/>
    <w:multiLevelType w:val="hybridMultilevel"/>
    <w:lvl w:ilvl="0">
      <w:lvlJc w:val="left"/>
      <w:lvlText w:val="%1)"/>
      <w:numFmt w:val="lowerLetter"/>
      <w:start w:val="4"/>
    </w:lvl>
  </w:abstractNum>
  <w:abstractNum w:abstractNumId="4">
    <w:nsid w:val="140E0F76"/>
    <w:multiLevelType w:val="hybridMultilevel"/>
    <w:lvl w:ilvl="0">
      <w:lvlJc w:val="left"/>
      <w:lvlText w:val="(%1)"/>
      <w:numFmt w:val="decimal"/>
      <w:start w:val="2"/>
    </w:lvl>
  </w:abstractNum>
  <w:abstractNum w:abstractNumId="5">
    <w:nsid w:val="3352255A"/>
    <w:multiLevelType w:val="hybridMultilevel"/>
    <w:lvl w:ilvl="0">
      <w:lvlJc w:val="left"/>
      <w:lvlText w:val="%1)"/>
      <w:numFmt w:val="lowerLetter"/>
      <w:start w:val="1"/>
    </w:lvl>
  </w:abstractNum>
  <w:abstractNum w:abstractNumId="6">
    <w:nsid w:val="109CF92E"/>
    <w:multiLevelType w:val="hybridMultilevel"/>
    <w:lvl w:ilvl="0">
      <w:lvlJc w:val="left"/>
      <w:lvlText w:val="%1)"/>
      <w:numFmt w:val="lowerLetter"/>
      <w:start w:val="4"/>
    </w:lvl>
  </w:abstractNum>
  <w:abstractNum w:abstractNumId="7">
    <w:nsid w:val="DED7263"/>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8">
    <w:nsid w:val="7FDCC233"/>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9">
    <w:nsid w:val="1BEFD79F"/>
    <w:multiLevelType w:val="hybridMultilevel"/>
    <w:lvl w:ilvl="0">
      <w:lvlJc w:val="left"/>
      <w:lvlText w:val="(%1)"/>
      <w:numFmt w:val="decimal"/>
      <w:start w:val="2"/>
    </w:lvl>
  </w:abstractNum>
  <w:abstractNum w:abstractNumId="10">
    <w:nsid w:val="41A7C4C9"/>
    <w:multiLevelType w:val="hybridMultilevel"/>
    <w:lvl w:ilvl="0">
      <w:lvlJc w:val="left"/>
      <w:lvlText w:val="(%1)"/>
      <w:numFmt w:val="decimal"/>
      <w:start w:val="2"/>
    </w:lvl>
    <w:lvl w:ilvl="1">
      <w:lvlJc w:val="left"/>
      <w:lvlText w:val="(%2)"/>
      <w:numFmt w:val="decimal"/>
      <w:start w:val="3"/>
    </w:lvl>
  </w:abstractNum>
  <w:abstractNum w:abstractNumId="11">
    <w:nsid w:val="6B68079A"/>
    <w:multiLevelType w:val="hybridMultilevel"/>
    <w:lvl w:ilvl="0">
      <w:lvlJc w:val="left"/>
      <w:lvlText w:val="(%1)"/>
      <w:numFmt w:val="decimal"/>
      <w:start w:val="4"/>
    </w:lvl>
  </w:abstractNum>
  <w:abstractNum w:abstractNumId="12">
    <w:nsid w:val="4E6AFB66"/>
    <w:multiLevelType w:val="hybridMultilevel"/>
    <w:lvl w:ilvl="0">
      <w:lvlJc w:val="left"/>
      <w:lvlText w:val="%1"/>
      <w:numFmt w:val="decimal"/>
      <w:start w:val="1"/>
    </w:lvl>
    <w:lvl w:ilvl="1">
      <w:lvlJc w:val="left"/>
      <w:lvlText w:val="(%2)"/>
      <w:numFmt w:val="decimal"/>
      <w:start w:val="6"/>
    </w:lvl>
  </w:abstractNum>
  <w:abstractNum w:abstractNumId="13">
    <w:nsid w:val="25E45D32"/>
    <w:multiLevelType w:val="hybridMultilevel"/>
    <w:lvl w:ilvl="0">
      <w:lvlJc w:val="left"/>
      <w:lvlText w:val="(%1)"/>
      <w:numFmt w:val="decimal"/>
      <w:start w:val="7"/>
    </w:lvl>
    <w:lvl w:ilvl="1">
      <w:lvlJc w:val="left"/>
      <w:lvlText w:val="%2"/>
      <w:numFmt w:val="decimal"/>
      <w:start w:val="1"/>
    </w:lvl>
  </w:abstractNum>
  <w:abstractNum w:abstractNumId="14">
    <w:nsid w:val="519B500D"/>
    <w:multiLevelType w:val="hybridMultilevel"/>
    <w:lvl w:ilvl="0">
      <w:lvlJc w:val="left"/>
      <w:lvlText w:val="(%1)"/>
      <w:numFmt w:val="decimal"/>
      <w:start w:val="2"/>
    </w:lvl>
  </w:abstractNum>
  <w:abstractNum w:abstractNumId="15">
    <w:nsid w:val="431BD7B7"/>
    <w:multiLevelType w:val="hybridMultilevel"/>
    <w:lvl w:ilvl="0">
      <w:lvlJc w:val="left"/>
      <w:lvlText w:val="(%1)"/>
      <w:numFmt w:val="decimal"/>
      <w:start w:val="2"/>
    </w:lvl>
  </w:abstractNum>
  <w:abstractNum w:abstractNumId="16">
    <w:nsid w:val="3F2DBA31"/>
    <w:multiLevelType w:val="hybridMultilevel"/>
    <w:lvl w:ilvl="0">
      <w:lvlJc w:val="left"/>
      <w:lvlText w:val="(%1)"/>
      <w:numFmt w:val="decimal"/>
      <w:start w:val="2"/>
    </w:lvl>
    <w:lvl w:ilvl="1">
      <w:lvlJc w:val="left"/>
      <w:lvlText w:val="%2)"/>
      <w:numFmt w:val="lowerLetter"/>
      <w:start w:val="1"/>
    </w:lvl>
  </w:abstractNum>
  <w:abstractNum w:abstractNumId="17">
    <w:nsid w:val="7C83E458"/>
    <w:multiLevelType w:val="hybridMultilevel"/>
    <w:lvl w:ilvl="0">
      <w:lvlJc w:val="left"/>
      <w:lvlText w:val="(%1)"/>
      <w:numFmt w:val="decimal"/>
      <w:start w:val="2"/>
    </w:lvl>
    <w:lvl w:ilvl="1">
      <w:lvlJc w:val="left"/>
      <w:lvlText w:val="(%2)"/>
      <w:numFmt w:val="decimal"/>
      <w:start w:val="3"/>
    </w:lvl>
  </w:abstractNum>
  <w:abstractNum w:abstractNumId="18">
    <w:nsid w:val="257130A3"/>
    <w:multiLevelType w:val="hybridMultilevel"/>
    <w:lvl w:ilvl="0">
      <w:lvlJc w:val="left"/>
      <w:lvlText w:val="(%1)"/>
      <w:numFmt w:val="decimal"/>
      <w:start w:val="2"/>
    </w:lvl>
  </w:abstractNum>
  <w:abstractNum w:abstractNumId="19">
    <w:nsid w:val="62BBD95A"/>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2020-12-14T12:14:17Z</dcterms:created>
  <dcterms:modified xsi:type="dcterms:W3CDTF">2020-12-14T12:14:17Z</dcterms:modified>
</cp:coreProperties>
</file>