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31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3"/>
          <w:szCs w:val="23"/>
          <w:b w:val="1"/>
          <w:bCs w:val="1"/>
          <w:color w:val="auto"/>
        </w:rPr>
        <w:t>TÜRK HAVA KURUMU ÜNİVERSİTESİ</w:t>
      </w:r>
    </w:p>
    <w:p>
      <w:pPr>
        <w:spacing w:after="0" w:line="5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3"/>
          <w:szCs w:val="23"/>
          <w:b w:val="1"/>
          <w:bCs w:val="1"/>
          <w:color w:val="auto"/>
        </w:rPr>
        <w:t>BOLOGNA EŞGÜDÜM KOMİSYONU YÖNERGESİ</w:t>
      </w:r>
    </w:p>
    <w:p>
      <w:pPr>
        <w:spacing w:after="0" w:line="341"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Amaç ve Kapsam</w:t>
      </w:r>
    </w:p>
    <w:p>
      <w:pPr>
        <w:spacing w:after="0" w:line="351" w:lineRule="exact"/>
        <w:rPr>
          <w:sz w:val="24"/>
          <w:szCs w:val="24"/>
          <w:color w:val="auto"/>
        </w:rPr>
      </w:pPr>
    </w:p>
    <w:p>
      <w:pPr>
        <w:jc w:val="both"/>
        <w:spacing w:after="0" w:line="281" w:lineRule="auto"/>
        <w:rPr>
          <w:sz w:val="20"/>
          <w:szCs w:val="20"/>
          <w:color w:val="auto"/>
        </w:rPr>
      </w:pPr>
      <w:r>
        <w:rPr>
          <w:rFonts w:ascii="Times New Roman" w:cs="Times New Roman" w:eastAsia="Times New Roman" w:hAnsi="Times New Roman"/>
          <w:sz w:val="23"/>
          <w:szCs w:val="23"/>
          <w:b w:val="1"/>
          <w:bCs w:val="1"/>
          <w:color w:val="auto"/>
        </w:rPr>
        <w:t xml:space="preserve">Madde 1- </w:t>
      </w:r>
      <w:r>
        <w:rPr>
          <w:rFonts w:ascii="Times New Roman" w:cs="Times New Roman" w:eastAsia="Times New Roman" w:hAnsi="Times New Roman"/>
          <w:sz w:val="23"/>
          <w:szCs w:val="23"/>
          <w:color w:val="auto"/>
        </w:rPr>
        <w:t>Bu Yönergenin amacı Türk Hava Kurumu Üniversitesinde oluşturulacak olan Bologna</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Eşgüdüm Komisyonu’nun yapılanma ve çalışma ilkelerini belirlemektir. Avrupa Yükseköğretim Alanı’nın yeniden yapılandırılması için yürütülen, Bologna Süreci kapsamındaki Avrupa Kredi Transfer Sistemi-AKTS/ Diploma Eki-DE ve Tanınma, Kalite Güvencesi, Yeterlilikler, Öğrenim Çıktıları, Hareketlilik, Öğrenci Katılımı, Sosyal Boyut konularında Türk Hava Kurumu Üniversitesinde yapılacak olan çalışmalar bu yönerge çerçevesinde yürütülür.</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Dayanak</w:t>
      </w:r>
    </w:p>
    <w:p>
      <w:pPr>
        <w:spacing w:after="0" w:line="49" w:lineRule="exact"/>
        <w:rPr>
          <w:sz w:val="24"/>
          <w:szCs w:val="24"/>
          <w:color w:val="auto"/>
        </w:rPr>
      </w:pPr>
    </w:p>
    <w:p>
      <w:pPr>
        <w:jc w:val="both"/>
        <w:spacing w:after="0" w:line="278" w:lineRule="auto"/>
        <w:rPr>
          <w:sz w:val="20"/>
          <w:szCs w:val="20"/>
          <w:color w:val="auto"/>
        </w:rPr>
      </w:pPr>
      <w:r>
        <w:rPr>
          <w:rFonts w:ascii="Times New Roman" w:cs="Times New Roman" w:eastAsia="Times New Roman" w:hAnsi="Times New Roman"/>
          <w:sz w:val="23"/>
          <w:szCs w:val="23"/>
          <w:b w:val="1"/>
          <w:bCs w:val="1"/>
          <w:color w:val="auto"/>
        </w:rPr>
        <w:t xml:space="preserve">Madde 2- </w:t>
      </w:r>
      <w:r>
        <w:rPr>
          <w:rFonts w:ascii="Times New Roman" w:cs="Times New Roman" w:eastAsia="Times New Roman" w:hAnsi="Times New Roman"/>
          <w:sz w:val="23"/>
          <w:szCs w:val="23"/>
          <w:color w:val="auto"/>
        </w:rPr>
        <w:t>Bu Yönerge, 2547 sayılı Yükseköğretim Kanununun 7 inci ve 65 inci maddelerine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dayanılarak alınan 20.11.2008 tarih ve 2008.22 nolu Yükseköğretim Kurumları Bologna Eşgüdüm Komisyonu-BEK oluşturulması ve oluşturulacak bu komisyonun görevleri ve çalışma ilkeleri hakkındaki kararı esas alınarak hazırlanmıştır.</w:t>
      </w:r>
    </w:p>
    <w:p>
      <w:pPr>
        <w:spacing w:after="0" w:line="4"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Tanımlar</w:t>
      </w:r>
    </w:p>
    <w:p>
      <w:pPr>
        <w:spacing w:after="0" w:line="50"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 xml:space="preserve">Madde 3- </w:t>
      </w:r>
      <w:r>
        <w:rPr>
          <w:rFonts w:ascii="Times New Roman" w:cs="Times New Roman" w:eastAsia="Times New Roman" w:hAnsi="Times New Roman"/>
          <w:sz w:val="23"/>
          <w:szCs w:val="23"/>
          <w:color w:val="auto"/>
        </w:rPr>
        <w:t>Bu Yönergede geçen;</w:t>
      </w:r>
    </w:p>
    <w:p>
      <w:pPr>
        <w:spacing w:after="0" w:line="43" w:lineRule="exact"/>
        <w:rPr>
          <w:sz w:val="24"/>
          <w:szCs w:val="24"/>
          <w:color w:val="auto"/>
        </w:rPr>
      </w:pPr>
    </w:p>
    <w:p>
      <w:pPr>
        <w:jc w:val="both"/>
        <w:ind w:left="700" w:hanging="2"/>
        <w:spacing w:after="0" w:line="279" w:lineRule="auto"/>
        <w:tabs>
          <w:tab w:leader="none" w:pos="972" w:val="left"/>
        </w:tabs>
        <w:numPr>
          <w:ilvl w:val="0"/>
          <w:numId w:val="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Avrupa Yükseköğretim Alanı (AYA): Avrupa düzeyinde yükseköğretim sistemlerinin farklılıklarını ve yükseköğretim kurumlarının özerkliklerini koruyarak, Avrupa toplumunun ekonomik ve sosyal ihtiyaçlarına uygun, ortak referans noktalarına dayalı, anlaşılabilir, karşılaştırılabilir ulusal yükseköğretim sistemleri oluşturmak, yükseköğretim kurumları arasında işbirliğini, hareketliliği ve mezunların istihdam edilebilirliğini arttırmak ve bu sayede yükseköğretimde Avrupa boyutunu öne çıkarmak için Bologna Sürecine dâhil ülkelerin Eğitim Bakanlarının 19 Haziran 1999 tarihli ortak deklarasyonu ile başlattıkları Avrupa ülkelerinin yükseköğretim yapılanmasıdır.</w:t>
      </w:r>
    </w:p>
    <w:p>
      <w:pPr>
        <w:spacing w:after="0" w:line="3" w:lineRule="exact"/>
        <w:rPr>
          <w:rFonts w:ascii="Times New Roman" w:cs="Times New Roman" w:eastAsia="Times New Roman" w:hAnsi="Times New Roman"/>
          <w:sz w:val="23"/>
          <w:szCs w:val="23"/>
          <w:b w:val="1"/>
          <w:bCs w:val="1"/>
          <w:color w:val="auto"/>
        </w:rPr>
      </w:pPr>
    </w:p>
    <w:p>
      <w:pPr>
        <w:jc w:val="both"/>
        <w:ind w:left="700" w:hanging="2"/>
        <w:spacing w:after="0" w:line="280" w:lineRule="auto"/>
        <w:tabs>
          <w:tab w:leader="none" w:pos="998" w:val="left"/>
        </w:tabs>
        <w:numPr>
          <w:ilvl w:val="0"/>
          <w:numId w:val="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Bologna Süreci: Avrupa Yükseköğretim Alanı’nı oluşturmak için 29 ülkenin Eğitim Bakanlarının 19 Haziran 1999 tarihli ortak deklarasyonu ile başlattıkları ve 2010 yılında tamamlanmasını öngördükleri süreçtir.</w:t>
      </w:r>
    </w:p>
    <w:p>
      <w:pPr>
        <w:spacing w:after="0" w:line="1" w:lineRule="exact"/>
        <w:rPr>
          <w:rFonts w:ascii="Times New Roman" w:cs="Times New Roman" w:eastAsia="Times New Roman" w:hAnsi="Times New Roman"/>
          <w:sz w:val="23"/>
          <w:szCs w:val="23"/>
          <w:b w:val="1"/>
          <w:bCs w:val="1"/>
          <w:color w:val="auto"/>
        </w:rPr>
      </w:pPr>
    </w:p>
    <w:p>
      <w:pPr>
        <w:jc w:val="both"/>
        <w:ind w:left="700" w:hanging="2"/>
        <w:spacing w:after="0" w:line="279" w:lineRule="auto"/>
        <w:tabs>
          <w:tab w:leader="none" w:pos="959" w:val="left"/>
        </w:tabs>
        <w:numPr>
          <w:ilvl w:val="0"/>
          <w:numId w:val="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Avrupa Kredi Transfer ve Biriktirme Sistemi (AKTS): Avrupa ülkeleri arasında kredi transferi ile eğitim sistemlerinin şeffaflığını artırmak ve öğrenci hareketliliğini kolaylaştırmak ve genel olarak bir akademik yıl içerisinde bir öğretim programından hedeflenen öğrenme çıktılarına ulaşabilmek için öğrencinin harcadığı zamanın (iş yükünün) 60 kredi olarak kabul edildiği ve derslerin kredilendirildiği kredi sistemidir.</w:t>
      </w:r>
    </w:p>
    <w:p>
      <w:pPr>
        <w:spacing w:after="0" w:line="4" w:lineRule="exact"/>
        <w:rPr>
          <w:rFonts w:ascii="Times New Roman" w:cs="Times New Roman" w:eastAsia="Times New Roman" w:hAnsi="Times New Roman"/>
          <w:sz w:val="23"/>
          <w:szCs w:val="23"/>
          <w:b w:val="1"/>
          <w:bCs w:val="1"/>
          <w:color w:val="auto"/>
        </w:rPr>
      </w:pPr>
    </w:p>
    <w:p>
      <w:pPr>
        <w:jc w:val="both"/>
        <w:ind w:left="700"/>
        <w:spacing w:after="0" w:line="306" w:lineRule="auto"/>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2"/>
          <w:szCs w:val="22"/>
          <w:b w:val="1"/>
          <w:bCs w:val="1"/>
          <w:color w:val="auto"/>
        </w:rPr>
        <w:t xml:space="preserve">ç) </w:t>
      </w:r>
      <w:r>
        <w:rPr>
          <w:rFonts w:ascii="Times New Roman" w:cs="Times New Roman" w:eastAsia="Times New Roman" w:hAnsi="Times New Roman"/>
          <w:sz w:val="22"/>
          <w:szCs w:val="22"/>
          <w:color w:val="auto"/>
        </w:rPr>
        <w:t>Diploma Eki (DE): Uluslararası şeffaflığı, akademik ve mesleki yeterliliklerin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tanınmasını kolaylaştırmak amacıyla Avrupa Komisyonu, Avrupa Konseyi ve Avrupa Yükseköğretim Merkezi (UNESCO- CEPES) tarafından geliştirilen bir model çerçevesinde bir yükseköğretim programından mezun olanların diplomalarına ek olarak verilen ve mezun olunan programın niteliği, seviyesi, içeriği ve kapsamı hakkında bilgi veren belgedir.</w:t>
      </w:r>
    </w:p>
    <w:p>
      <w:pPr>
        <w:spacing w:after="0" w:line="164" w:lineRule="exact"/>
        <w:rPr>
          <w:sz w:val="24"/>
          <w:szCs w:val="24"/>
          <w:color w:val="auto"/>
        </w:rPr>
      </w:pPr>
    </w:p>
    <w:p>
      <w:pPr>
        <w:jc w:val="center"/>
        <w:spacing w:after="0"/>
        <w:rPr>
          <w:sz w:val="20"/>
          <w:szCs w:val="20"/>
          <w:color w:val="auto"/>
        </w:rPr>
      </w:pPr>
      <w:r>
        <w:rPr>
          <w:rFonts w:ascii="Calibri" w:cs="Calibri" w:eastAsia="Calibri" w:hAnsi="Calibri"/>
          <w:sz w:val="21"/>
          <w:szCs w:val="21"/>
          <w:color w:val="auto"/>
        </w:rPr>
        <w:t>1</w:t>
      </w:r>
    </w:p>
    <w:p>
      <w:pPr>
        <w:spacing w:after="0" w:line="2" w:lineRule="exact"/>
        <w:rPr>
          <w:sz w:val="24"/>
          <w:szCs w:val="24"/>
          <w:color w:val="auto"/>
        </w:rPr>
      </w:pPr>
    </w:p>
    <w:p>
      <w:pPr>
        <w:ind w:left="6340"/>
        <w:spacing w:after="0"/>
        <w:rPr>
          <w:sz w:val="20"/>
          <w:szCs w:val="20"/>
          <w:color w:val="auto"/>
        </w:rPr>
      </w:pPr>
      <w:r>
        <w:rPr>
          <w:rFonts w:ascii="Times New Roman" w:cs="Times New Roman" w:eastAsia="Times New Roman" w:hAnsi="Times New Roman"/>
          <w:sz w:val="21"/>
          <w:szCs w:val="21"/>
          <w:color w:val="auto"/>
        </w:rPr>
        <w:t>Senato K.T. / No: 25.12.2013/27</w:t>
      </w:r>
    </w:p>
    <w:p>
      <w:pPr>
        <w:sectPr>
          <w:pgSz w:w="11900" w:h="16840" w:orient="portrait"/>
          <w:cols w:equalWidth="0" w:num="1">
            <w:col w:w="9140"/>
          </w:cols>
          <w:pgMar w:left="1380" w:top="1440" w:right="1384" w:bottom="1440"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640" w:hanging="2"/>
        <w:spacing w:after="0" w:line="281" w:lineRule="auto"/>
        <w:tabs>
          <w:tab w:leader="none" w:pos="998"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Tanınma: Bir öğrencinin bir yükseköğretim kurumunda geçirdiği ve başarı ile tamamladığı eğitim süresinin bir başka kurum tarafından kabul edilmesidir.</w:t>
      </w:r>
    </w:p>
    <w:p>
      <w:pPr>
        <w:spacing w:after="0" w:line="1" w:lineRule="exact"/>
        <w:rPr>
          <w:rFonts w:ascii="Times New Roman" w:cs="Times New Roman" w:eastAsia="Times New Roman" w:hAnsi="Times New Roman"/>
          <w:sz w:val="23"/>
          <w:szCs w:val="23"/>
          <w:b w:val="1"/>
          <w:bCs w:val="1"/>
          <w:color w:val="auto"/>
        </w:rPr>
      </w:pPr>
    </w:p>
    <w:p>
      <w:pPr>
        <w:jc w:val="both"/>
        <w:ind w:left="640" w:hanging="2"/>
        <w:spacing w:after="0" w:line="280" w:lineRule="auto"/>
        <w:tabs>
          <w:tab w:leader="none" w:pos="822"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Kalite Güvencesi: Bir yükseköğretim kurumunun ve/veya eğitim program/programlarının Yükseköğretimde Avrupa Kalite Güvencesi İlke ve Standartları kapsamında tanımlanmış iç ve dış kalite standartları ile uyumlu kalite/performans süreçlerini tam olarak yerine getirdiğine dair güvence sağlayabilmek için yapılan tüm planlı ve sistemli işlemlerdir.</w:t>
      </w:r>
    </w:p>
    <w:p>
      <w:pPr>
        <w:jc w:val="both"/>
        <w:ind w:left="640" w:hanging="2"/>
        <w:spacing w:after="0" w:line="279" w:lineRule="auto"/>
        <w:tabs>
          <w:tab w:leader="none" w:pos="882"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Yeterlilik: Tanınan bir yükseköğretim programının başarıyla tamamlanması sonucu o program için öngörülen öğrenme çıktılarının kazanıldığını onaylayan ve yetkili bir otorite tarafından basılı olarak verilen diploma veya sertifika türü belgedir.</w:t>
      </w:r>
    </w:p>
    <w:p>
      <w:pPr>
        <w:spacing w:after="0" w:line="2" w:lineRule="exact"/>
        <w:rPr>
          <w:rFonts w:ascii="Times New Roman" w:cs="Times New Roman" w:eastAsia="Times New Roman" w:hAnsi="Times New Roman"/>
          <w:sz w:val="23"/>
          <w:szCs w:val="23"/>
          <w:b w:val="1"/>
          <w:bCs w:val="1"/>
          <w:color w:val="auto"/>
        </w:rPr>
      </w:pPr>
    </w:p>
    <w:p>
      <w:pPr>
        <w:jc w:val="both"/>
        <w:ind w:left="640" w:hanging="2"/>
        <w:spacing w:after="0" w:line="280" w:lineRule="auto"/>
        <w:tabs>
          <w:tab w:leader="none" w:pos="940"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 xml:space="preserve">Öğrenme Kazanımları (Çıktıları): Bir öğrenim süresinin tamamlanmasının ardından öğrenenin neyi bileceğinin, neyi kavrayacağının ve neyi yapabileceğinin ifade edilmesidir. </w:t>
      </w:r>
      <w:r>
        <w:rPr>
          <w:rFonts w:ascii="Times New Roman" w:cs="Times New Roman" w:eastAsia="Times New Roman" w:hAnsi="Times New Roman"/>
          <w:sz w:val="23"/>
          <w:szCs w:val="23"/>
          <w:b w:val="1"/>
          <w:bCs w:val="1"/>
          <w:color w:val="auto"/>
        </w:rPr>
        <w:t xml:space="preserve">ğ) </w:t>
      </w:r>
      <w:r>
        <w:rPr>
          <w:rFonts w:ascii="Times New Roman" w:cs="Times New Roman" w:eastAsia="Times New Roman" w:hAnsi="Times New Roman"/>
          <w:sz w:val="23"/>
          <w:szCs w:val="23"/>
          <w:color w:val="auto"/>
        </w:rPr>
        <w:t>Hareketlilik: Ulusal veya uluslararası değişim programları kapsamında öğrenci, öğretim</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elemanları ve idari personelin çalışmalarının belli bir dönemini bulundukları şehrin/ülkenin dışında devam ettirmeleridir.</w:t>
      </w:r>
    </w:p>
    <w:p>
      <w:pPr>
        <w:spacing w:after="0" w:line="1" w:lineRule="exact"/>
        <w:rPr>
          <w:rFonts w:ascii="Times New Roman" w:cs="Times New Roman" w:eastAsia="Times New Roman" w:hAnsi="Times New Roman"/>
          <w:sz w:val="23"/>
          <w:szCs w:val="23"/>
          <w:b w:val="1"/>
          <w:bCs w:val="1"/>
          <w:color w:val="auto"/>
        </w:rPr>
      </w:pPr>
    </w:p>
    <w:p>
      <w:pPr>
        <w:ind w:left="640" w:hanging="2"/>
        <w:spacing w:after="0" w:line="279" w:lineRule="auto"/>
        <w:tabs>
          <w:tab w:leader="none" w:pos="894"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 Katılımı: Öğrencilerin Bologna Süreci faaliyet alanları kapsamındaki süreçlerde aktif bir paydaş olarak rol almalarıdır.</w:t>
      </w:r>
    </w:p>
    <w:p>
      <w:pPr>
        <w:spacing w:after="0" w:line="1" w:lineRule="exact"/>
        <w:rPr>
          <w:rFonts w:ascii="Times New Roman" w:cs="Times New Roman" w:eastAsia="Times New Roman" w:hAnsi="Times New Roman"/>
          <w:sz w:val="23"/>
          <w:szCs w:val="23"/>
          <w:b w:val="1"/>
          <w:bCs w:val="1"/>
          <w:color w:val="auto"/>
        </w:rPr>
      </w:pPr>
    </w:p>
    <w:p>
      <w:pPr>
        <w:ind w:left="640"/>
        <w:spacing w:after="0" w:line="280" w:lineRule="auto"/>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 xml:space="preserve">ı) </w:t>
      </w:r>
      <w:r>
        <w:rPr>
          <w:rFonts w:ascii="Times New Roman" w:cs="Times New Roman" w:eastAsia="Times New Roman" w:hAnsi="Times New Roman"/>
          <w:sz w:val="23"/>
          <w:szCs w:val="23"/>
          <w:color w:val="auto"/>
        </w:rPr>
        <w:t>Sosyal Boyut: Öğrenenlerin yükseköğretime erişim ve sunulan imkânlardan eşit şekilde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yararlanmalarının temin edilmesidir.</w:t>
      </w:r>
    </w:p>
    <w:p>
      <w:pPr>
        <w:jc w:val="both"/>
        <w:ind w:left="640" w:hanging="2"/>
        <w:spacing w:after="0" w:line="279" w:lineRule="auto"/>
        <w:tabs>
          <w:tab w:leader="none" w:pos="945"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Türkiye Bologna İzleme Grubu: Ulusal ölçekte, Bologna Süreci kapsamındaki faaliyetlerin planlanması, yürütülmesi ve koordinasyonuna destek sağlamak üzere ilgili paydaşların bir araya gelerek oluşturdukları gruptur.</w:t>
      </w:r>
    </w:p>
    <w:p>
      <w:pPr>
        <w:spacing w:after="0" w:line="2" w:lineRule="exact"/>
        <w:rPr>
          <w:rFonts w:ascii="Times New Roman" w:cs="Times New Roman" w:eastAsia="Times New Roman" w:hAnsi="Times New Roman"/>
          <w:sz w:val="23"/>
          <w:szCs w:val="23"/>
          <w:b w:val="1"/>
          <w:bCs w:val="1"/>
          <w:color w:val="auto"/>
        </w:rPr>
      </w:pPr>
    </w:p>
    <w:p>
      <w:pPr>
        <w:jc w:val="both"/>
        <w:ind w:left="640" w:hanging="2"/>
        <w:spacing w:after="0" w:line="280" w:lineRule="auto"/>
        <w:tabs>
          <w:tab w:leader="none" w:pos="942" w:val="left"/>
        </w:tabs>
        <w:numPr>
          <w:ilvl w:val="0"/>
          <w:numId w:val="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Akademik Değerlendirme ve Kalite Geliştirme Kurulu (ADEK): Yükseköğretim kurumları bünyesinde kurulan ve yükseköğretim kurumlarında iç ve dış kalite güvence süreçlerinin eşgüdümü ve yürütülmesinden sorumlu ‘Akademik Değerlendirme ve Kalite Geliştirme Kurulu’dur.</w:t>
      </w:r>
    </w:p>
    <w:p>
      <w:pPr>
        <w:spacing w:after="0" w:line="1" w:lineRule="exact"/>
        <w:rPr>
          <w:sz w:val="20"/>
          <w:szCs w:val="20"/>
          <w:color w:val="auto"/>
        </w:rPr>
      </w:pPr>
    </w:p>
    <w:p>
      <w:pPr>
        <w:jc w:val="both"/>
        <w:ind w:left="640" w:hanging="2"/>
        <w:spacing w:after="0" w:line="279" w:lineRule="auto"/>
        <w:tabs>
          <w:tab w:leader="none" w:pos="1126" w:val="left"/>
        </w:tabs>
        <w:numPr>
          <w:ilvl w:val="0"/>
          <w:numId w:val="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Bologna Eşgüdüm Komisyonu (BEK): Bologna çalışmalarının yeniden yapılandırılmasını ve sürdürülebilir gelişmelerini yönlendirmek üzere, yükseköğretim kurumları bünyesinde oluşturulan komisyondur.</w:t>
      </w:r>
    </w:p>
    <w:p>
      <w:pPr>
        <w:spacing w:after="0" w:line="2" w:lineRule="exact"/>
        <w:rPr>
          <w:rFonts w:ascii="Times New Roman" w:cs="Times New Roman" w:eastAsia="Times New Roman" w:hAnsi="Times New Roman"/>
          <w:sz w:val="23"/>
          <w:szCs w:val="23"/>
          <w:b w:val="1"/>
          <w:bCs w:val="1"/>
          <w:color w:val="auto"/>
        </w:rPr>
      </w:pPr>
    </w:p>
    <w:p>
      <w:pPr>
        <w:jc w:val="both"/>
        <w:ind w:left="640" w:hanging="2"/>
        <w:spacing w:after="0" w:line="244" w:lineRule="auto"/>
        <w:tabs>
          <w:tab w:leader="none" w:pos="952" w:val="left"/>
        </w:tabs>
        <w:numPr>
          <w:ilvl w:val="0"/>
          <w:numId w:val="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Türk Hava Kurumu Üniversitesi Bologna Eşgüdüm Komisyonu (THKÜ-BEK) Koordinasyon Kurulu: THKÜ-BEK tarafından kurul üyeleri içerisinden seçilen ve THKÜ-BEK’e yardımcı olan, uzmanlık gerektiren konularda ve teknik ayrıntılarda öneriler getiren ve katkılarda bulunan ve bu bağlamda alt komisyonlar ile uzmanlık ve teknik ayrıntılar konusunda ilişkiler oluşturup, işbirliği yapan kuruldur.</w:t>
      </w:r>
    </w:p>
    <w:p>
      <w:pPr>
        <w:spacing w:after="0" w:line="2" w:lineRule="exact"/>
        <w:rPr>
          <w:rFonts w:ascii="Times New Roman" w:cs="Times New Roman" w:eastAsia="Times New Roman" w:hAnsi="Times New Roman"/>
          <w:sz w:val="23"/>
          <w:szCs w:val="23"/>
          <w:b w:val="1"/>
          <w:bCs w:val="1"/>
          <w:color w:val="auto"/>
        </w:rPr>
      </w:pPr>
    </w:p>
    <w:p>
      <w:pPr>
        <w:jc w:val="both"/>
        <w:ind w:left="640" w:hanging="2"/>
        <w:spacing w:after="0" w:line="243" w:lineRule="auto"/>
        <w:tabs>
          <w:tab w:leader="none" w:pos="1006" w:val="left"/>
        </w:tabs>
        <w:numPr>
          <w:ilvl w:val="0"/>
          <w:numId w:val="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Türk Hava Kurumu Üniversitesi Bologna Eşgüdüm Komisyonu (THKÜ-BEK) Alt Komisyonları: THKÜ-BEK tarafından, çalışma alanı ile ilgili gerek duyulan konularda ve gerek duyulan sayıda özellikli çalışmalar yapmak üzere kurulan alt komisyonlardır.</w:t>
      </w:r>
    </w:p>
    <w:p>
      <w:pPr>
        <w:spacing w:after="0" w:line="1" w:lineRule="exact"/>
        <w:rPr>
          <w:rFonts w:ascii="Times New Roman" w:cs="Times New Roman" w:eastAsia="Times New Roman" w:hAnsi="Times New Roman"/>
          <w:sz w:val="23"/>
          <w:szCs w:val="23"/>
          <w:b w:val="1"/>
          <w:bCs w:val="1"/>
          <w:color w:val="auto"/>
        </w:rPr>
      </w:pPr>
    </w:p>
    <w:p>
      <w:pPr>
        <w:jc w:val="both"/>
        <w:ind w:left="640" w:hanging="2"/>
        <w:spacing w:after="0" w:line="261" w:lineRule="auto"/>
        <w:tabs>
          <w:tab w:leader="none" w:pos="986" w:val="left"/>
        </w:tabs>
        <w:numPr>
          <w:ilvl w:val="0"/>
          <w:numId w:val="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Türkiye Yükseköğretim Yeterlikler Çerçevesi (TYYÇ) : Türkiye Yükseköğretim Yeterlikler Çerçevesi ulusal ve uluslararası paydaşlarca tanınan ve ilişkilendirilebilen yeterliliklerin belirli bir düzen içerisinde yapılandırıldığı bir sistemdir.</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60"/>
        <w:spacing w:after="0"/>
        <w:rPr>
          <w:sz w:val="20"/>
          <w:szCs w:val="20"/>
          <w:color w:val="auto"/>
        </w:rPr>
      </w:pPr>
      <w:r>
        <w:rPr>
          <w:rFonts w:ascii="Calibri" w:cs="Calibri" w:eastAsia="Calibri" w:hAnsi="Calibri"/>
          <w:sz w:val="21"/>
          <w:szCs w:val="21"/>
          <w:color w:val="auto"/>
        </w:rPr>
        <w:t>2</w:t>
      </w:r>
    </w:p>
    <w:p>
      <w:pPr>
        <w:spacing w:after="0" w:line="2"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21"/>
          <w:szCs w:val="21"/>
          <w:color w:val="auto"/>
        </w:rPr>
        <w:t>Senato K.T. / No: 25.12.2013/27</w:t>
      </w:r>
    </w:p>
    <w:p>
      <w:pPr>
        <w:sectPr>
          <w:pgSz w:w="11900" w:h="16840" w:orient="portrait"/>
          <w:cols w:equalWidth="0" w:num="1">
            <w:col w:w="9080"/>
          </w:cols>
          <w:pgMar w:left="1440" w:top="1440" w:right="1384" w:bottom="1440"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Türk Hava Kurumu Üniversitesi Bologna Eşgüdüm Komisyonunun Kurulması</w:t>
      </w:r>
    </w:p>
    <w:p>
      <w:pPr>
        <w:spacing w:after="0" w:line="54"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23"/>
          <w:szCs w:val="23"/>
          <w:b w:val="1"/>
          <w:bCs w:val="1"/>
          <w:color w:val="auto"/>
        </w:rPr>
        <w:t xml:space="preserve">Madde 4- </w:t>
      </w:r>
      <w:r>
        <w:rPr>
          <w:rFonts w:ascii="Times New Roman" w:cs="Times New Roman" w:eastAsia="Times New Roman" w:hAnsi="Times New Roman"/>
          <w:sz w:val="23"/>
          <w:szCs w:val="23"/>
          <w:color w:val="auto"/>
        </w:rPr>
        <w:t>Türk Hava Kurumu Üniversitesi, yükseköğretimin Bologna Süreci çalışma alanları</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doğrultusunda yeniden yapılandırılmasını ve sürdürülebilir gelişmesini yönlendirmek üzere Bologna Eşgüdüm Komisyonu (BEK) oluşturur.</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Komisyon Üyeleri ve Başkanı</w:t>
      </w:r>
    </w:p>
    <w:p>
      <w:pPr>
        <w:spacing w:after="0" w:line="4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3"/>
          <w:szCs w:val="23"/>
          <w:b w:val="1"/>
          <w:bCs w:val="1"/>
          <w:color w:val="auto"/>
        </w:rPr>
        <w:t xml:space="preserve">Madde 5- </w:t>
      </w:r>
      <w:r>
        <w:rPr>
          <w:rFonts w:ascii="Times New Roman" w:cs="Times New Roman" w:eastAsia="Times New Roman" w:hAnsi="Times New Roman"/>
          <w:sz w:val="23"/>
          <w:szCs w:val="23"/>
          <w:color w:val="auto"/>
        </w:rPr>
        <w:t>BEK, Türk Hava Kurumu Üniversitesi Rektörünün görevlendireceği aşağıdaki daimi</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üyelerden oluşur:</w:t>
      </w:r>
    </w:p>
    <w:p>
      <w:pPr>
        <w:spacing w:after="0" w:line="1" w:lineRule="exact"/>
        <w:rPr>
          <w:sz w:val="20"/>
          <w:szCs w:val="20"/>
          <w:color w:val="auto"/>
        </w:rPr>
      </w:pPr>
    </w:p>
    <w:p>
      <w:pPr>
        <w:ind w:left="960" w:hanging="262"/>
        <w:spacing w:after="0"/>
        <w:tabs>
          <w:tab w:leader="none" w:pos="960" w:val="left"/>
        </w:tabs>
        <w:numPr>
          <w:ilvl w:val="0"/>
          <w:numId w:val="4"/>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Eğitim ve /veya Uluslararası İlişkilerden Sorumlu Rektör Yardımcısı/ları</w:t>
      </w:r>
    </w:p>
    <w:p>
      <w:pPr>
        <w:spacing w:after="0" w:line="50" w:lineRule="exact"/>
        <w:rPr>
          <w:rFonts w:ascii="Times New Roman" w:cs="Times New Roman" w:eastAsia="Times New Roman" w:hAnsi="Times New Roman"/>
          <w:sz w:val="23"/>
          <w:szCs w:val="23"/>
          <w:b w:val="1"/>
          <w:bCs w:val="1"/>
          <w:color w:val="auto"/>
        </w:rPr>
      </w:pPr>
    </w:p>
    <w:p>
      <w:pPr>
        <w:ind w:left="960" w:hanging="262"/>
        <w:spacing w:after="0"/>
        <w:tabs>
          <w:tab w:leader="none" w:pos="960" w:val="left"/>
        </w:tabs>
        <w:numPr>
          <w:ilvl w:val="0"/>
          <w:numId w:val="4"/>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ADEK Başkanı</w:t>
      </w:r>
    </w:p>
    <w:p>
      <w:pPr>
        <w:spacing w:after="0" w:line="43" w:lineRule="exact"/>
        <w:rPr>
          <w:rFonts w:ascii="Times New Roman" w:cs="Times New Roman" w:eastAsia="Times New Roman" w:hAnsi="Times New Roman"/>
          <w:sz w:val="23"/>
          <w:szCs w:val="23"/>
          <w:b w:val="1"/>
          <w:bCs w:val="1"/>
          <w:color w:val="auto"/>
        </w:rPr>
      </w:pPr>
    </w:p>
    <w:p>
      <w:pPr>
        <w:ind w:left="940" w:hanging="242"/>
        <w:spacing w:after="0"/>
        <w:tabs>
          <w:tab w:leader="none" w:pos="940" w:val="left"/>
        </w:tabs>
        <w:numPr>
          <w:ilvl w:val="0"/>
          <w:numId w:val="4"/>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Bologna Uzmanı (var ise)</w:t>
      </w:r>
    </w:p>
    <w:p>
      <w:pPr>
        <w:spacing w:after="0" w:line="4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3"/>
          <w:szCs w:val="23"/>
          <w:b w:val="1"/>
          <w:bCs w:val="1"/>
          <w:color w:val="auto"/>
        </w:rPr>
        <w:t xml:space="preserve">ç) </w:t>
      </w:r>
      <w:r>
        <w:rPr>
          <w:rFonts w:ascii="Times New Roman" w:cs="Times New Roman" w:eastAsia="Times New Roman" w:hAnsi="Times New Roman"/>
          <w:sz w:val="23"/>
          <w:szCs w:val="23"/>
          <w:color w:val="auto"/>
        </w:rPr>
        <w:t>AKTS/DE ve Erasmus Koordinatörü/leri</w:t>
      </w:r>
    </w:p>
    <w:p>
      <w:pPr>
        <w:spacing w:after="0" w:line="45" w:lineRule="exact"/>
        <w:rPr>
          <w:sz w:val="20"/>
          <w:szCs w:val="20"/>
          <w:color w:val="auto"/>
        </w:rPr>
      </w:pPr>
    </w:p>
    <w:p>
      <w:pPr>
        <w:ind w:left="960" w:hanging="262"/>
        <w:spacing w:after="0"/>
        <w:tabs>
          <w:tab w:leader="none" w:pos="960" w:val="left"/>
        </w:tabs>
        <w:numPr>
          <w:ilvl w:val="0"/>
          <w:numId w:val="5"/>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 İşleri Daire Başkanı</w:t>
      </w:r>
    </w:p>
    <w:p>
      <w:pPr>
        <w:spacing w:after="0" w:line="42" w:lineRule="exact"/>
        <w:rPr>
          <w:rFonts w:ascii="Times New Roman" w:cs="Times New Roman" w:eastAsia="Times New Roman" w:hAnsi="Times New Roman"/>
          <w:sz w:val="23"/>
          <w:szCs w:val="23"/>
          <w:b w:val="1"/>
          <w:bCs w:val="1"/>
          <w:color w:val="auto"/>
        </w:rPr>
      </w:pPr>
    </w:p>
    <w:p>
      <w:pPr>
        <w:ind w:left="940" w:hanging="242"/>
        <w:spacing w:after="0"/>
        <w:tabs>
          <w:tab w:leader="none" w:pos="940" w:val="left"/>
        </w:tabs>
        <w:numPr>
          <w:ilvl w:val="0"/>
          <w:numId w:val="5"/>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 Konseyi Başkanı</w:t>
      </w:r>
    </w:p>
    <w:p>
      <w:pPr>
        <w:spacing w:after="0" w:line="44" w:lineRule="exact"/>
        <w:rPr>
          <w:rFonts w:ascii="Times New Roman" w:cs="Times New Roman" w:eastAsia="Times New Roman" w:hAnsi="Times New Roman"/>
          <w:sz w:val="23"/>
          <w:szCs w:val="23"/>
          <w:b w:val="1"/>
          <w:bCs w:val="1"/>
          <w:color w:val="auto"/>
        </w:rPr>
      </w:pPr>
    </w:p>
    <w:p>
      <w:pPr>
        <w:ind w:left="920" w:hanging="222"/>
        <w:spacing w:after="0"/>
        <w:tabs>
          <w:tab w:leader="none" w:pos="920" w:val="left"/>
        </w:tabs>
        <w:numPr>
          <w:ilvl w:val="0"/>
          <w:numId w:val="5"/>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Rektörün uygun gördüğü diğer üyeler</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Rektör BEK içinden bir öğretim üyesini Başkan olarak atar.</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Toplantılar</w:t>
      </w:r>
    </w:p>
    <w:p>
      <w:pPr>
        <w:spacing w:after="0" w:line="49"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23"/>
          <w:szCs w:val="23"/>
          <w:b w:val="1"/>
          <w:bCs w:val="1"/>
          <w:color w:val="auto"/>
        </w:rPr>
        <w:t xml:space="preserve">Madde 6- </w:t>
      </w:r>
      <w:r>
        <w:rPr>
          <w:rFonts w:ascii="Times New Roman" w:cs="Times New Roman" w:eastAsia="Times New Roman" w:hAnsi="Times New Roman"/>
          <w:sz w:val="23"/>
          <w:szCs w:val="23"/>
          <w:color w:val="auto"/>
        </w:rPr>
        <w:t>BEK, Başkanın çağrısı üzerine toplanır ve her akademik yarıyılda en az bir</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değerlendirme toplantısı yapar. BEK gerektiğinde üniversite birimleri düzeyinde alt çalışma grupları oluşturabilir.</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Komisyonun Görevleri</w:t>
      </w:r>
    </w:p>
    <w:p>
      <w:pPr>
        <w:spacing w:after="0" w:line="49"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 xml:space="preserve">Madde 7- </w:t>
      </w:r>
      <w:r>
        <w:rPr>
          <w:rFonts w:ascii="Times New Roman" w:cs="Times New Roman" w:eastAsia="Times New Roman" w:hAnsi="Times New Roman"/>
          <w:sz w:val="23"/>
          <w:szCs w:val="23"/>
          <w:color w:val="auto"/>
        </w:rPr>
        <w:t>BEK’in görevleri şunlardır:</w:t>
      </w:r>
    </w:p>
    <w:p>
      <w:pPr>
        <w:spacing w:after="0" w:line="44" w:lineRule="exact"/>
        <w:rPr>
          <w:sz w:val="20"/>
          <w:szCs w:val="20"/>
          <w:color w:val="auto"/>
        </w:rPr>
      </w:pPr>
    </w:p>
    <w:p>
      <w:pPr>
        <w:jc w:val="both"/>
        <w:ind w:firstLine="698"/>
        <w:spacing w:after="0" w:line="278" w:lineRule="auto"/>
        <w:tabs>
          <w:tab w:leader="none" w:pos="1032" w:val="left"/>
        </w:tabs>
        <w:numPr>
          <w:ilvl w:val="0"/>
          <w:numId w:val="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Bologna sürecinin faaliyet alanlarına giren ve Yükseköğretim Kurulu tarafından çerçevesi belirlenmiş olan konularda Türk Hava Kurumu Üniversitesi’nin “Yıllık Eylem Planı”nı hazırlamak ve uygulamasını sağlamak; “Kurum Raporu”nu hazırlanacak yıllık ulusal rapora veri oluşturmak üzere, her yılın en geç Mayıs ayı sonuna kadar Yükseköğretim Kuruluna göndermek,</w:t>
      </w:r>
    </w:p>
    <w:p>
      <w:pPr>
        <w:spacing w:after="0" w:line="4" w:lineRule="exact"/>
        <w:rPr>
          <w:rFonts w:ascii="Times New Roman" w:cs="Times New Roman" w:eastAsia="Times New Roman" w:hAnsi="Times New Roman"/>
          <w:sz w:val="23"/>
          <w:szCs w:val="23"/>
          <w:b w:val="1"/>
          <w:bCs w:val="1"/>
          <w:color w:val="auto"/>
        </w:rPr>
      </w:pPr>
    </w:p>
    <w:p>
      <w:pPr>
        <w:jc w:val="both"/>
        <w:ind w:firstLine="698"/>
        <w:spacing w:after="0" w:line="280" w:lineRule="auto"/>
        <w:tabs>
          <w:tab w:leader="none" w:pos="1021" w:val="left"/>
        </w:tabs>
        <w:numPr>
          <w:ilvl w:val="0"/>
          <w:numId w:val="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Bologna Sürecinin ana çalışma alanlarında iç ve dış paydaşlara ilgili mevzuat ve uygulama konularında sistematik olarak hizmet içi eğitim seminerlerinin düzenlenmesini sağlamak. Kurum ve birimlerin akademik kurullarında Bologna Süreci uygulamalarının yerleşmesi için gerekli önlemler almak,</w:t>
      </w:r>
    </w:p>
    <w:p>
      <w:pPr>
        <w:ind w:left="940" w:hanging="242"/>
        <w:spacing w:after="0"/>
        <w:tabs>
          <w:tab w:leader="none" w:pos="940" w:val="left"/>
        </w:tabs>
        <w:numPr>
          <w:ilvl w:val="0"/>
          <w:numId w:val="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Yapılan çalışmaları değerlendirip yeni dönem uygulamaları için strateji belirlemek,</w:t>
      </w:r>
    </w:p>
    <w:p>
      <w:pPr>
        <w:spacing w:after="0" w:line="50" w:lineRule="exact"/>
        <w:rPr>
          <w:sz w:val="20"/>
          <w:szCs w:val="20"/>
          <w:color w:val="auto"/>
        </w:rPr>
      </w:pPr>
    </w:p>
    <w:p>
      <w:pPr>
        <w:jc w:val="both"/>
        <w:ind w:firstLine="700"/>
        <w:spacing w:after="0" w:line="288" w:lineRule="auto"/>
        <w:rPr>
          <w:sz w:val="20"/>
          <w:szCs w:val="20"/>
          <w:color w:val="auto"/>
        </w:rPr>
      </w:pPr>
      <w:r>
        <w:rPr>
          <w:rFonts w:ascii="Times New Roman" w:cs="Times New Roman" w:eastAsia="Times New Roman" w:hAnsi="Times New Roman"/>
          <w:sz w:val="23"/>
          <w:szCs w:val="23"/>
          <w:b w:val="1"/>
          <w:bCs w:val="1"/>
          <w:color w:val="auto"/>
        </w:rPr>
        <w:t xml:space="preserve">ç) </w:t>
      </w:r>
      <w:r>
        <w:rPr>
          <w:rFonts w:ascii="Times New Roman" w:cs="Times New Roman" w:eastAsia="Times New Roman" w:hAnsi="Times New Roman"/>
          <w:sz w:val="23"/>
          <w:szCs w:val="23"/>
          <w:color w:val="auto"/>
        </w:rPr>
        <w:t>Bologna Süreciyle ilgili, Yükseköğretim Kurulu’nun, Avrupa Yükseköğretim Alanında</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faaliyet gösteren kurum ve kuruluşların (Avrupa Üniversiteler Birliği (EUA), Avrupa Yükseköğretimde Kalite Güvence Birliği (ENQA), Avrupa Yükseköğretim Kurumları Birliği (EURASHE) gibi) etkinliklerini izlemek, katılmak ve bu doğrultuda kurum içi hazırlıklara öncülük etmek.</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THKÜ-BEK Koordinasyon Kurulunun Görevleri</w:t>
      </w:r>
    </w:p>
    <w:p>
      <w:pPr>
        <w:spacing w:after="0" w:line="281" w:lineRule="exact"/>
        <w:rPr>
          <w:sz w:val="20"/>
          <w:szCs w:val="20"/>
          <w:color w:val="auto"/>
        </w:rPr>
      </w:pPr>
    </w:p>
    <w:p>
      <w:pPr>
        <w:jc w:val="center"/>
        <w:spacing w:after="0"/>
        <w:rPr>
          <w:sz w:val="20"/>
          <w:szCs w:val="20"/>
          <w:color w:val="auto"/>
        </w:rPr>
      </w:pPr>
      <w:r>
        <w:rPr>
          <w:rFonts w:ascii="Calibri" w:cs="Calibri" w:eastAsia="Calibri" w:hAnsi="Calibri"/>
          <w:sz w:val="21"/>
          <w:szCs w:val="21"/>
          <w:color w:val="auto"/>
        </w:rPr>
        <w:t>3</w:t>
      </w:r>
    </w:p>
    <w:p>
      <w:pPr>
        <w:spacing w:after="0" w:line="2" w:lineRule="exact"/>
        <w:rPr>
          <w:sz w:val="20"/>
          <w:szCs w:val="20"/>
          <w:color w:val="auto"/>
        </w:rPr>
      </w:pPr>
    </w:p>
    <w:p>
      <w:pPr>
        <w:ind w:left="6340"/>
        <w:spacing w:after="0"/>
        <w:rPr>
          <w:sz w:val="20"/>
          <w:szCs w:val="20"/>
          <w:color w:val="auto"/>
        </w:rPr>
      </w:pPr>
      <w:r>
        <w:rPr>
          <w:rFonts w:ascii="Times New Roman" w:cs="Times New Roman" w:eastAsia="Times New Roman" w:hAnsi="Times New Roman"/>
          <w:sz w:val="21"/>
          <w:szCs w:val="21"/>
          <w:color w:val="auto"/>
        </w:rPr>
        <w:t>Senato K.T. / No: 25.12.2013/27</w:t>
      </w:r>
    </w:p>
    <w:p>
      <w:pPr>
        <w:sectPr>
          <w:pgSz w:w="11900" w:h="16840" w:orient="portrait"/>
          <w:cols w:equalWidth="0" w:num="1">
            <w:col w:w="9140"/>
          </w:cols>
          <w:pgMar w:left="1380" w:top="1440" w:right="1384" w:bottom="1440"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 xml:space="preserve">Madde 8- </w:t>
      </w:r>
      <w:r>
        <w:rPr>
          <w:rFonts w:ascii="Times New Roman" w:cs="Times New Roman" w:eastAsia="Times New Roman" w:hAnsi="Times New Roman"/>
          <w:sz w:val="23"/>
          <w:szCs w:val="23"/>
          <w:color w:val="auto"/>
        </w:rPr>
        <w:t>Koordinasyon Kurulunun görevleri şunlardır:</w:t>
      </w:r>
    </w:p>
    <w:p>
      <w:pPr>
        <w:spacing w:after="0" w:line="57" w:lineRule="exact"/>
        <w:rPr>
          <w:sz w:val="20"/>
          <w:szCs w:val="20"/>
          <w:color w:val="auto"/>
        </w:rPr>
      </w:pPr>
    </w:p>
    <w:p>
      <w:pPr>
        <w:ind w:left="1040" w:hanging="342"/>
        <w:spacing w:after="0"/>
        <w:tabs>
          <w:tab w:leader="none" w:pos="1040" w:val="left"/>
        </w:tabs>
        <w:numPr>
          <w:ilvl w:val="0"/>
          <w:numId w:val="7"/>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Alt komisyon çalışmalarını izlemek ve alt komisyon sorumlularıyla birlikte çalışmak,</w:t>
      </w:r>
    </w:p>
    <w:p>
      <w:pPr>
        <w:spacing w:after="0" w:line="44" w:lineRule="exact"/>
        <w:rPr>
          <w:rFonts w:ascii="Times New Roman" w:cs="Times New Roman" w:eastAsia="Times New Roman" w:hAnsi="Times New Roman"/>
          <w:sz w:val="23"/>
          <w:szCs w:val="23"/>
          <w:b w:val="1"/>
          <w:bCs w:val="1"/>
          <w:color w:val="auto"/>
        </w:rPr>
      </w:pPr>
    </w:p>
    <w:p>
      <w:pPr>
        <w:ind w:left="1040" w:hanging="342"/>
        <w:spacing w:after="0"/>
        <w:tabs>
          <w:tab w:leader="none" w:pos="1040" w:val="left"/>
        </w:tabs>
        <w:numPr>
          <w:ilvl w:val="0"/>
          <w:numId w:val="7"/>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Alt komisyonlar arasında eşgüdüm sağlamak,</w:t>
      </w:r>
    </w:p>
    <w:p>
      <w:pPr>
        <w:spacing w:after="0" w:line="43" w:lineRule="exact"/>
        <w:rPr>
          <w:rFonts w:ascii="Times New Roman" w:cs="Times New Roman" w:eastAsia="Times New Roman" w:hAnsi="Times New Roman"/>
          <w:sz w:val="23"/>
          <w:szCs w:val="23"/>
          <w:b w:val="1"/>
          <w:bCs w:val="1"/>
          <w:color w:val="auto"/>
        </w:rPr>
      </w:pPr>
    </w:p>
    <w:p>
      <w:pPr>
        <w:ind w:left="1040" w:hanging="342"/>
        <w:spacing w:after="0" w:line="277" w:lineRule="auto"/>
        <w:tabs>
          <w:tab w:leader="none" w:pos="1040" w:val="left"/>
        </w:tabs>
        <w:numPr>
          <w:ilvl w:val="0"/>
          <w:numId w:val="7"/>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Alt komisyonların tanımladığı eğitim ihtiyaçlarından hareketle “Kurumsal Eğitim Planı”nı oluşturmak,</w:t>
      </w:r>
    </w:p>
    <w:p>
      <w:pPr>
        <w:spacing w:after="0" w:line="1" w:lineRule="exact"/>
        <w:rPr>
          <w:sz w:val="20"/>
          <w:szCs w:val="20"/>
          <w:color w:val="auto"/>
        </w:rPr>
      </w:pPr>
    </w:p>
    <w:p>
      <w:pPr>
        <w:ind w:left="700"/>
        <w:spacing w:after="0" w:line="280" w:lineRule="auto"/>
        <w:rPr>
          <w:sz w:val="20"/>
          <w:szCs w:val="20"/>
          <w:color w:val="auto"/>
        </w:rPr>
      </w:pPr>
      <w:r>
        <w:rPr>
          <w:rFonts w:ascii="Times New Roman" w:cs="Times New Roman" w:eastAsia="Times New Roman" w:hAnsi="Times New Roman"/>
          <w:sz w:val="23"/>
          <w:szCs w:val="23"/>
          <w:b w:val="1"/>
          <w:bCs w:val="1"/>
          <w:color w:val="auto"/>
        </w:rPr>
        <w:t xml:space="preserve">ç) </w:t>
      </w:r>
      <w:r>
        <w:rPr>
          <w:rFonts w:ascii="Times New Roman" w:cs="Times New Roman" w:eastAsia="Times New Roman" w:hAnsi="Times New Roman"/>
          <w:sz w:val="23"/>
          <w:szCs w:val="23"/>
          <w:color w:val="auto"/>
        </w:rPr>
        <w:t>Akademik birimlerdeki alt kurullarda Bologna Süreci uygulamalarının yerleşmesi için</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gerekli bilgilendirmeleri yapmak.</w:t>
      </w:r>
    </w:p>
    <w:p>
      <w:pPr>
        <w:spacing w:after="0" w:line="1" w:lineRule="exact"/>
        <w:rPr>
          <w:sz w:val="20"/>
          <w:szCs w:val="20"/>
          <w:color w:val="auto"/>
        </w:rPr>
      </w:pPr>
    </w:p>
    <w:p>
      <w:pPr>
        <w:ind w:left="1040" w:hanging="342"/>
        <w:spacing w:after="0" w:line="279" w:lineRule="auto"/>
        <w:tabs>
          <w:tab w:leader="none" w:pos="1040" w:val="left"/>
        </w:tabs>
        <w:numPr>
          <w:ilvl w:val="0"/>
          <w:numId w:val="8"/>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Alt komisyonlardan gelen önerilerden hareketle, “Kurumun Bologna Stratejisi”ni karara bağlamak,</w:t>
      </w:r>
    </w:p>
    <w:p>
      <w:pPr>
        <w:spacing w:after="0" w:line="1" w:lineRule="exact"/>
        <w:rPr>
          <w:rFonts w:ascii="Times New Roman" w:cs="Times New Roman" w:eastAsia="Times New Roman" w:hAnsi="Times New Roman"/>
          <w:sz w:val="23"/>
          <w:szCs w:val="23"/>
          <w:b w:val="1"/>
          <w:bCs w:val="1"/>
          <w:color w:val="auto"/>
        </w:rPr>
      </w:pPr>
    </w:p>
    <w:p>
      <w:pPr>
        <w:ind w:left="1040" w:hanging="342"/>
        <w:spacing w:after="0"/>
        <w:tabs>
          <w:tab w:leader="none" w:pos="1040" w:val="left"/>
        </w:tabs>
        <w:numPr>
          <w:ilvl w:val="0"/>
          <w:numId w:val="8"/>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Kurumun, Bologna konusunda “Yıllık Eylem Planı”nı hazırlamak,</w:t>
      </w:r>
    </w:p>
    <w:p>
      <w:pPr>
        <w:spacing w:after="0" w:line="50" w:lineRule="exact"/>
        <w:rPr>
          <w:rFonts w:ascii="Times New Roman" w:cs="Times New Roman" w:eastAsia="Times New Roman" w:hAnsi="Times New Roman"/>
          <w:sz w:val="23"/>
          <w:szCs w:val="23"/>
          <w:b w:val="1"/>
          <w:bCs w:val="1"/>
          <w:color w:val="auto"/>
        </w:rPr>
      </w:pPr>
    </w:p>
    <w:p>
      <w:pPr>
        <w:ind w:left="1040" w:hanging="342"/>
        <w:spacing w:after="0"/>
        <w:tabs>
          <w:tab w:leader="none" w:pos="1040" w:val="left"/>
        </w:tabs>
        <w:numPr>
          <w:ilvl w:val="0"/>
          <w:numId w:val="8"/>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Yapılan çalışmaları değerlendirip yeni dönem uygulamaları için strateji belirlemek,</w:t>
      </w:r>
    </w:p>
    <w:p>
      <w:pPr>
        <w:spacing w:after="0" w:line="43" w:lineRule="exact"/>
        <w:rPr>
          <w:rFonts w:ascii="Times New Roman" w:cs="Times New Roman" w:eastAsia="Times New Roman" w:hAnsi="Times New Roman"/>
          <w:sz w:val="23"/>
          <w:szCs w:val="23"/>
          <w:b w:val="1"/>
          <w:bCs w:val="1"/>
          <w:color w:val="auto"/>
        </w:rPr>
      </w:pPr>
    </w:p>
    <w:p>
      <w:pPr>
        <w:jc w:val="both"/>
        <w:ind w:left="1040" w:hanging="342"/>
        <w:spacing w:after="0" w:line="278" w:lineRule="auto"/>
        <w:tabs>
          <w:tab w:leader="none" w:pos="1040" w:val="left"/>
        </w:tabs>
        <w:numPr>
          <w:ilvl w:val="0"/>
          <w:numId w:val="8"/>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Bologna Süreci’yle ilgili, Yükseköğretim Kurulu’nun, Avrupa Yükseköğretim alanında faaliyet gösteren kurum ve kuruluşların (Avrupa Üniversiteler Birliği (EUA), Avrupa Yükseköğretimde Kalite Güvence Birliği (ENQA), Avrupa Yükseköğretim Kurumları Birliği (EURASHE) gibi) etkinliklerini izlemek, katılmak ve bu doğrultuda kurum içi</w:t>
      </w:r>
    </w:p>
    <w:p>
      <w:pPr>
        <w:spacing w:after="0" w:line="3"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3"/>
          <w:szCs w:val="23"/>
          <w:color w:val="auto"/>
        </w:rPr>
        <w:t>hazırlıklara öncülük etmek.</w:t>
      </w:r>
    </w:p>
    <w:p>
      <w:pPr>
        <w:spacing w:after="0" w:line="45" w:lineRule="exact"/>
        <w:rPr>
          <w:sz w:val="20"/>
          <w:szCs w:val="20"/>
          <w:color w:val="auto"/>
        </w:rPr>
      </w:pPr>
    </w:p>
    <w:p>
      <w:pPr>
        <w:ind w:left="640"/>
        <w:spacing w:after="0" w:line="320" w:lineRule="auto"/>
        <w:rPr>
          <w:sz w:val="20"/>
          <w:szCs w:val="20"/>
          <w:color w:val="auto"/>
        </w:rPr>
      </w:pPr>
      <w:r>
        <w:rPr>
          <w:rFonts w:ascii="Times New Roman" w:cs="Times New Roman" w:eastAsia="Times New Roman" w:hAnsi="Times New Roman"/>
          <w:sz w:val="23"/>
          <w:szCs w:val="23"/>
          <w:b w:val="1"/>
          <w:bCs w:val="1"/>
          <w:color w:val="auto"/>
        </w:rPr>
        <w:t xml:space="preserve">ğ) </w:t>
      </w:r>
      <w:r>
        <w:rPr>
          <w:rFonts w:ascii="Times New Roman" w:cs="Times New Roman" w:eastAsia="Times New Roman" w:hAnsi="Times New Roman"/>
          <w:sz w:val="23"/>
          <w:szCs w:val="23"/>
          <w:color w:val="auto"/>
        </w:rPr>
        <w:t>Her yıl en geç Mayıs ayının 15’ine kadar BEK raporunu BEK Başkanlığı’na teslim</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etmekle görevlidir.</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Alt Komisyonların Kuruluş ve Görevleri</w:t>
      </w:r>
    </w:p>
    <w:p>
      <w:pPr>
        <w:spacing w:after="0" w:line="55" w:lineRule="exact"/>
        <w:rPr>
          <w:sz w:val="20"/>
          <w:szCs w:val="20"/>
          <w:color w:val="auto"/>
        </w:rPr>
      </w:pPr>
    </w:p>
    <w:p>
      <w:pPr>
        <w:jc w:val="both"/>
        <w:spacing w:after="0" w:line="279" w:lineRule="auto"/>
        <w:rPr>
          <w:sz w:val="20"/>
          <w:szCs w:val="20"/>
          <w:color w:val="auto"/>
        </w:rPr>
      </w:pPr>
      <w:r>
        <w:rPr>
          <w:rFonts w:ascii="Times New Roman" w:cs="Times New Roman" w:eastAsia="Times New Roman" w:hAnsi="Times New Roman"/>
          <w:sz w:val="23"/>
          <w:szCs w:val="23"/>
          <w:b w:val="1"/>
          <w:bCs w:val="1"/>
          <w:color w:val="auto"/>
        </w:rPr>
        <w:t xml:space="preserve">Madde 9- </w:t>
      </w:r>
      <w:r>
        <w:rPr>
          <w:rFonts w:ascii="Times New Roman" w:cs="Times New Roman" w:eastAsia="Times New Roman" w:hAnsi="Times New Roman"/>
          <w:sz w:val="23"/>
          <w:szCs w:val="23"/>
          <w:color w:val="auto"/>
        </w:rPr>
        <w:t>THKÜ-BEK tarafından, çalışma alanı ile ilgili gerek duyulan konularda ve gerek</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duyulan sayıda alt komisyon, özellikli çalışmalar yapmak üzere kurulur. Komisyonun başkanlığını, kendi aralarından seçecekleri bir üye yürütür. Komisyon gerekli görmesi halinde, çalışma konusu ile ilgili olarak paydaşların görüşüne başvurabilir veya paydaşları komisyonda görevlendirebilir. THKÜ-BEK gerekli durumlarda başka alanlarla veya görevlerle ilgili olarak yeni alt komisyon(lar) ve/veya geçici komisyon(lar) kurabilir. Bu amaçla oluşturulan THKÜ-BEK Alt Komisyonları şu görev alanlarında çalışmalarını sürdürür:</w:t>
      </w:r>
    </w:p>
    <w:p>
      <w:pPr>
        <w:spacing w:after="0" w:line="3" w:lineRule="exact"/>
        <w:rPr>
          <w:sz w:val="20"/>
          <w:szCs w:val="20"/>
          <w:color w:val="auto"/>
        </w:rPr>
      </w:pPr>
    </w:p>
    <w:p>
      <w:pPr>
        <w:ind w:left="1040" w:hanging="342"/>
        <w:spacing w:after="0"/>
        <w:tabs>
          <w:tab w:leader="none" w:pos="1040" w:val="left"/>
        </w:tabs>
        <w:numPr>
          <w:ilvl w:val="0"/>
          <w:numId w:val="9"/>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Diploma ve Derecelerin Tanınması Alt Komisyonu’nun görevleri şunlardır:</w:t>
      </w:r>
    </w:p>
    <w:p>
      <w:pPr>
        <w:spacing w:after="0" w:line="49" w:lineRule="exact"/>
        <w:rPr>
          <w:rFonts w:ascii="Times New Roman" w:cs="Times New Roman" w:eastAsia="Times New Roman" w:hAnsi="Times New Roman"/>
          <w:sz w:val="23"/>
          <w:szCs w:val="23"/>
          <w:b w:val="1"/>
          <w:bCs w:val="1"/>
          <w:color w:val="auto"/>
        </w:rPr>
      </w:pPr>
    </w:p>
    <w:p>
      <w:pPr>
        <w:ind w:left="1580" w:hanging="531"/>
        <w:spacing w:after="0" w:line="277" w:lineRule="auto"/>
        <w:tabs>
          <w:tab w:leader="none" w:pos="1580" w:val="left"/>
        </w:tabs>
        <w:numPr>
          <w:ilvl w:val="1"/>
          <w:numId w:val="9"/>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Birimler bazında yapılan çalışmaları takip etmek, sorunlara yönelik çözüm önerileri geliştirmek,</w:t>
      </w:r>
    </w:p>
    <w:p>
      <w:pPr>
        <w:ind w:left="1580" w:hanging="531"/>
        <w:spacing w:after="0"/>
        <w:tabs>
          <w:tab w:leader="none" w:pos="1580" w:val="left"/>
        </w:tabs>
        <w:numPr>
          <w:ilvl w:val="1"/>
          <w:numId w:val="9"/>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Alt kurul çalışmalarını takvime bağlamak ve yapılan çalışmaları raporlamak,</w:t>
      </w:r>
    </w:p>
    <w:p>
      <w:pPr>
        <w:spacing w:after="0" w:line="50" w:lineRule="exact"/>
        <w:rPr>
          <w:rFonts w:ascii="Times New Roman" w:cs="Times New Roman" w:eastAsia="Times New Roman" w:hAnsi="Times New Roman"/>
          <w:sz w:val="23"/>
          <w:szCs w:val="23"/>
          <w:b w:val="1"/>
          <w:bCs w:val="1"/>
          <w:color w:val="auto"/>
        </w:rPr>
      </w:pPr>
    </w:p>
    <w:p>
      <w:pPr>
        <w:ind w:left="1580" w:hanging="531"/>
        <w:spacing w:after="0"/>
        <w:tabs>
          <w:tab w:leader="none" w:pos="1580" w:val="left"/>
        </w:tabs>
        <w:numPr>
          <w:ilvl w:val="1"/>
          <w:numId w:val="9"/>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AKTS ve DE Etiketi başvurusu için gerekli çalışmaları planlamak,</w:t>
      </w:r>
    </w:p>
    <w:p>
      <w:pPr>
        <w:spacing w:after="0" w:line="44" w:lineRule="exact"/>
        <w:rPr>
          <w:rFonts w:ascii="Times New Roman" w:cs="Times New Roman" w:eastAsia="Times New Roman" w:hAnsi="Times New Roman"/>
          <w:sz w:val="23"/>
          <w:szCs w:val="23"/>
          <w:b w:val="1"/>
          <w:bCs w:val="1"/>
          <w:color w:val="auto"/>
        </w:rPr>
      </w:pPr>
    </w:p>
    <w:p>
      <w:pPr>
        <w:jc w:val="both"/>
        <w:ind w:left="1580" w:hanging="531"/>
        <w:spacing w:after="0" w:line="278" w:lineRule="auto"/>
        <w:tabs>
          <w:tab w:leader="none" w:pos="1580" w:val="left"/>
        </w:tabs>
        <w:numPr>
          <w:ilvl w:val="1"/>
          <w:numId w:val="9"/>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Avrupa Kredi Transfer ve Biriktirme Sisteminin (AKTS) tüm ön lisans, lisans, yüksek lisans ve doktora programlarında uygulanması konusunda rehberlik etmek,</w:t>
      </w:r>
    </w:p>
    <w:p>
      <w:pPr>
        <w:spacing w:after="0" w:line="1" w:lineRule="exact"/>
        <w:rPr>
          <w:rFonts w:ascii="Times New Roman" w:cs="Times New Roman" w:eastAsia="Times New Roman" w:hAnsi="Times New Roman"/>
          <w:sz w:val="23"/>
          <w:szCs w:val="23"/>
          <w:b w:val="1"/>
          <w:bCs w:val="1"/>
          <w:color w:val="auto"/>
        </w:rPr>
      </w:pPr>
    </w:p>
    <w:p>
      <w:pPr>
        <w:jc w:val="both"/>
        <w:ind w:left="1580" w:hanging="531"/>
        <w:spacing w:after="0" w:line="299" w:lineRule="auto"/>
        <w:tabs>
          <w:tab w:leader="none" w:pos="1580" w:val="left"/>
        </w:tabs>
        <w:numPr>
          <w:ilvl w:val="1"/>
          <w:numId w:val="9"/>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Mevcut diploma eklerinin, Avrupa Konseyi ve Avrupa Yükseköğretim Merkezi (UNESCO-CEPES) normlarına uygunluğu hakkında değerlendirmelerde bulunup, görüş bildirmek,</w:t>
      </w: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Calibri" w:cs="Calibri" w:eastAsia="Calibri" w:hAnsi="Calibri"/>
          <w:sz w:val="21"/>
          <w:szCs w:val="21"/>
          <w:color w:val="auto"/>
        </w:rPr>
        <w:t>4</w:t>
      </w:r>
    </w:p>
    <w:p>
      <w:pPr>
        <w:spacing w:after="0" w:line="2" w:lineRule="exact"/>
        <w:rPr>
          <w:sz w:val="20"/>
          <w:szCs w:val="20"/>
          <w:color w:val="auto"/>
        </w:rPr>
      </w:pPr>
    </w:p>
    <w:p>
      <w:pPr>
        <w:ind w:left="6340"/>
        <w:spacing w:after="0"/>
        <w:rPr>
          <w:sz w:val="20"/>
          <w:szCs w:val="20"/>
          <w:color w:val="auto"/>
        </w:rPr>
      </w:pPr>
      <w:r>
        <w:rPr>
          <w:rFonts w:ascii="Times New Roman" w:cs="Times New Roman" w:eastAsia="Times New Roman" w:hAnsi="Times New Roman"/>
          <w:sz w:val="21"/>
          <w:szCs w:val="21"/>
          <w:color w:val="auto"/>
        </w:rPr>
        <w:t>Senato K.T. / No: 25.12.2013/27</w:t>
      </w:r>
    </w:p>
    <w:p>
      <w:pPr>
        <w:sectPr>
          <w:pgSz w:w="11900" w:h="16840" w:orient="portrait"/>
          <w:cols w:equalWidth="0" w:num="1">
            <w:col w:w="9140"/>
          </w:cols>
          <w:pgMar w:left="1380" w:top="1440" w:right="1384" w:bottom="1440"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520" w:hanging="531"/>
        <w:spacing w:after="0" w:line="281" w:lineRule="auto"/>
        <w:tabs>
          <w:tab w:leader="none" w:pos="1520" w:val="left"/>
        </w:tabs>
        <w:numPr>
          <w:ilvl w:val="1"/>
          <w:numId w:val="10"/>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Diploma Ekinin (DE) tüm ön lisans, lisans, yüksek lisans ve doktora programlarında sunulması konusunda rehberlik etmek,</w:t>
      </w:r>
    </w:p>
    <w:p>
      <w:pPr>
        <w:spacing w:after="0" w:line="1" w:lineRule="exact"/>
        <w:rPr>
          <w:rFonts w:ascii="Times New Roman" w:cs="Times New Roman" w:eastAsia="Times New Roman" w:hAnsi="Times New Roman"/>
          <w:sz w:val="23"/>
          <w:szCs w:val="23"/>
          <w:b w:val="1"/>
          <w:bCs w:val="1"/>
          <w:color w:val="auto"/>
        </w:rPr>
      </w:pPr>
    </w:p>
    <w:p>
      <w:pPr>
        <w:ind w:left="1520" w:hanging="531"/>
        <w:spacing w:after="0" w:line="319" w:lineRule="auto"/>
        <w:tabs>
          <w:tab w:leader="none" w:pos="1520" w:val="left"/>
        </w:tabs>
        <w:numPr>
          <w:ilvl w:val="1"/>
          <w:numId w:val="10"/>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AKTS/DE Etiketi başvuru çağrılarını takip edip, başvuru dosyasının oluşturulmasına katkıda bulunmak,</w:t>
      </w:r>
    </w:p>
    <w:p>
      <w:pPr>
        <w:spacing w:after="0" w:line="200" w:lineRule="exact"/>
        <w:rPr>
          <w:rFonts w:ascii="Times New Roman" w:cs="Times New Roman" w:eastAsia="Times New Roman" w:hAnsi="Times New Roman"/>
          <w:sz w:val="23"/>
          <w:szCs w:val="23"/>
          <w:b w:val="1"/>
          <w:bCs w:val="1"/>
          <w:color w:val="auto"/>
        </w:rPr>
      </w:pPr>
    </w:p>
    <w:p>
      <w:pPr>
        <w:spacing w:after="0" w:line="200" w:lineRule="exact"/>
        <w:rPr>
          <w:rFonts w:ascii="Times New Roman" w:cs="Times New Roman" w:eastAsia="Times New Roman" w:hAnsi="Times New Roman"/>
          <w:sz w:val="23"/>
          <w:szCs w:val="23"/>
          <w:b w:val="1"/>
          <w:bCs w:val="1"/>
          <w:color w:val="auto"/>
        </w:rPr>
      </w:pPr>
    </w:p>
    <w:p>
      <w:pPr>
        <w:spacing w:after="0" w:line="200" w:lineRule="exact"/>
        <w:rPr>
          <w:rFonts w:ascii="Times New Roman" w:cs="Times New Roman" w:eastAsia="Times New Roman" w:hAnsi="Times New Roman"/>
          <w:sz w:val="23"/>
          <w:szCs w:val="23"/>
          <w:b w:val="1"/>
          <w:bCs w:val="1"/>
          <w:color w:val="auto"/>
        </w:rPr>
      </w:pPr>
    </w:p>
    <w:p>
      <w:pPr>
        <w:spacing w:after="0" w:line="200" w:lineRule="exact"/>
        <w:rPr>
          <w:rFonts w:ascii="Times New Roman" w:cs="Times New Roman" w:eastAsia="Times New Roman" w:hAnsi="Times New Roman"/>
          <w:sz w:val="23"/>
          <w:szCs w:val="23"/>
          <w:b w:val="1"/>
          <w:bCs w:val="1"/>
          <w:color w:val="auto"/>
        </w:rPr>
      </w:pPr>
    </w:p>
    <w:p>
      <w:pPr>
        <w:spacing w:after="0" w:line="345" w:lineRule="exact"/>
        <w:rPr>
          <w:rFonts w:ascii="Times New Roman" w:cs="Times New Roman" w:eastAsia="Times New Roman" w:hAnsi="Times New Roman"/>
          <w:sz w:val="23"/>
          <w:szCs w:val="23"/>
          <w:b w:val="1"/>
          <w:bCs w:val="1"/>
          <w:color w:val="auto"/>
        </w:rPr>
      </w:pPr>
    </w:p>
    <w:p>
      <w:pPr>
        <w:ind w:left="640" w:hanging="352"/>
        <w:spacing w:after="0"/>
        <w:tabs>
          <w:tab w:leader="none" w:pos="640" w:val="left"/>
        </w:tabs>
        <w:numPr>
          <w:ilvl w:val="0"/>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Kalite Güvencesi Alt Komisyonu’nun görevleri şunlardır:</w:t>
      </w:r>
    </w:p>
    <w:p>
      <w:pPr>
        <w:spacing w:after="0" w:line="52" w:lineRule="exact"/>
        <w:rPr>
          <w:rFonts w:ascii="Times New Roman" w:cs="Times New Roman" w:eastAsia="Times New Roman" w:hAnsi="Times New Roman"/>
          <w:sz w:val="23"/>
          <w:szCs w:val="23"/>
          <w:b w:val="1"/>
          <w:bCs w:val="1"/>
          <w:color w:val="auto"/>
        </w:rPr>
      </w:pPr>
    </w:p>
    <w:p>
      <w:pPr>
        <w:ind w:left="1520" w:hanging="531"/>
        <w:spacing w:after="0" w:line="277"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Avrupa Birliği, Yükseköğretim Kurulu ve yurtiçi / yurtdışı üniversiteler tarafından gerçekleştirilen çalışmaları takip etmek, strateji önerisi geliştirmek,</w:t>
      </w:r>
    </w:p>
    <w:p>
      <w:pPr>
        <w:spacing w:after="0" w:line="1" w:lineRule="exact"/>
        <w:rPr>
          <w:rFonts w:ascii="Times New Roman" w:cs="Times New Roman" w:eastAsia="Times New Roman" w:hAnsi="Times New Roman"/>
          <w:sz w:val="23"/>
          <w:szCs w:val="23"/>
          <w:b w:val="1"/>
          <w:bCs w:val="1"/>
          <w:color w:val="auto"/>
        </w:rPr>
      </w:pPr>
    </w:p>
    <w:p>
      <w:pPr>
        <w:ind w:left="1520" w:hanging="531"/>
        <w:spacing w:after="0" w:line="279"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Birimler bazında yapılan çalışmaları takip etmek, sorunlara yönelik çözüm önerileri geliştirmek,</w:t>
      </w:r>
    </w:p>
    <w:p>
      <w:pPr>
        <w:spacing w:after="0" w:line="1"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Alt Kurul çalışmalarını takvime bağlamak ve yapılan çalışmaları raporlamak,</w:t>
      </w:r>
    </w:p>
    <w:p>
      <w:pPr>
        <w:spacing w:after="0" w:line="48"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Kaliteli eğitime eşit şartlarda erişim konusunda strateji önerileri geliştirmek,</w:t>
      </w:r>
    </w:p>
    <w:p>
      <w:pPr>
        <w:spacing w:after="0" w:line="44" w:lineRule="exact"/>
        <w:rPr>
          <w:rFonts w:ascii="Times New Roman" w:cs="Times New Roman" w:eastAsia="Times New Roman" w:hAnsi="Times New Roman"/>
          <w:sz w:val="23"/>
          <w:szCs w:val="23"/>
          <w:b w:val="1"/>
          <w:bCs w:val="1"/>
          <w:color w:val="auto"/>
        </w:rPr>
      </w:pPr>
    </w:p>
    <w:p>
      <w:pPr>
        <w:ind w:left="1520" w:hanging="531"/>
        <w:spacing w:after="0" w:line="277"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Öğrencilerin yükseköğretim yönetimine katılımlarını teşvik etmek ve konuya yönelik öneriler geliştirmek,</w:t>
      </w:r>
    </w:p>
    <w:p>
      <w:pPr>
        <w:spacing w:after="0" w:line="1"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Hayat boyu öğrenme anlayışının yerleşmesine katkıda bulunmak,</w:t>
      </w:r>
    </w:p>
    <w:p>
      <w:pPr>
        <w:spacing w:after="0" w:line="48" w:lineRule="exact"/>
        <w:rPr>
          <w:rFonts w:ascii="Times New Roman" w:cs="Times New Roman" w:eastAsia="Times New Roman" w:hAnsi="Times New Roman"/>
          <w:sz w:val="23"/>
          <w:szCs w:val="23"/>
          <w:b w:val="1"/>
          <w:bCs w:val="1"/>
          <w:color w:val="auto"/>
        </w:rPr>
      </w:pPr>
    </w:p>
    <w:p>
      <w:pPr>
        <w:jc w:val="both"/>
        <w:ind w:left="1520" w:hanging="531"/>
        <w:spacing w:after="0" w:line="278"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Bologna Süreci ilke ve normları çerçevesinde Üniversitemiz BEK, Yükseköğretim Yeterlilikler Alt Komisyonu (YYÇ) ve ADEK Eğitim- Öğretim Alt Kurulu (ADEK-EÖAK) ile eşgüdüm içerisinde çalışmak ve öneriler geliştirmek,</w:t>
      </w:r>
    </w:p>
    <w:p>
      <w:pPr>
        <w:spacing w:after="0" w:line="4" w:lineRule="exact"/>
        <w:rPr>
          <w:rFonts w:ascii="Times New Roman" w:cs="Times New Roman" w:eastAsia="Times New Roman" w:hAnsi="Times New Roman"/>
          <w:sz w:val="23"/>
          <w:szCs w:val="23"/>
          <w:b w:val="1"/>
          <w:bCs w:val="1"/>
          <w:color w:val="auto"/>
        </w:rPr>
      </w:pPr>
    </w:p>
    <w:p>
      <w:pPr>
        <w:ind w:left="1520" w:hanging="531"/>
        <w:spacing w:after="0" w:line="279"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Diploma ve Derecelerin Tanınması Alt Kurulu ile birlikte AKTS belirlemek amacıyla yapılacak paydaş anketleri üzerinde görüş bildirmek,</w:t>
      </w:r>
    </w:p>
    <w:p>
      <w:pPr>
        <w:spacing w:after="0" w:line="1" w:lineRule="exact"/>
        <w:rPr>
          <w:rFonts w:ascii="Times New Roman" w:cs="Times New Roman" w:eastAsia="Times New Roman" w:hAnsi="Times New Roman"/>
          <w:sz w:val="23"/>
          <w:szCs w:val="23"/>
          <w:b w:val="1"/>
          <w:bCs w:val="1"/>
          <w:color w:val="auto"/>
        </w:rPr>
      </w:pPr>
    </w:p>
    <w:p>
      <w:pPr>
        <w:ind w:left="1520" w:hanging="531"/>
        <w:spacing w:after="0" w:line="279"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Diploma ve Derecelerin Tanınması Alt Kurulu ile birlikte anketlerin değerlendirilmesi konusunda yöntem geliştirmek,</w:t>
      </w:r>
    </w:p>
    <w:p>
      <w:pPr>
        <w:spacing w:after="0" w:line="1" w:lineRule="exact"/>
        <w:rPr>
          <w:rFonts w:ascii="Times New Roman" w:cs="Times New Roman" w:eastAsia="Times New Roman" w:hAnsi="Times New Roman"/>
          <w:sz w:val="23"/>
          <w:szCs w:val="23"/>
          <w:b w:val="1"/>
          <w:bCs w:val="1"/>
          <w:color w:val="auto"/>
        </w:rPr>
      </w:pPr>
    </w:p>
    <w:p>
      <w:pPr>
        <w:ind w:left="1520" w:hanging="531"/>
        <w:spacing w:after="0" w:line="280"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İç/Dış paydaş anket formlarının hazırlanmasına ve birimlerde anketlerin değerlendirilmesine yardımcı olmak,</w:t>
      </w:r>
    </w:p>
    <w:p>
      <w:pPr>
        <w:ind w:left="1520" w:hanging="531"/>
        <w:spacing w:after="0"/>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Kurumsal akreditasyon için başvuruların hazırlanmasına katkıda bulunmak,</w:t>
      </w:r>
    </w:p>
    <w:p>
      <w:pPr>
        <w:spacing w:after="0" w:line="48"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BEK raporunun hazırlanmasına katkıda bulunmak.</w:t>
      </w:r>
    </w:p>
    <w:p>
      <w:pPr>
        <w:spacing w:after="0" w:line="44" w:lineRule="exact"/>
        <w:rPr>
          <w:rFonts w:ascii="Times New Roman" w:cs="Times New Roman" w:eastAsia="Times New Roman" w:hAnsi="Times New Roman"/>
          <w:sz w:val="23"/>
          <w:szCs w:val="23"/>
          <w:b w:val="1"/>
          <w:bCs w:val="1"/>
          <w:color w:val="auto"/>
        </w:rPr>
      </w:pPr>
    </w:p>
    <w:p>
      <w:pPr>
        <w:ind w:left="640" w:hanging="352"/>
        <w:spacing w:after="0"/>
        <w:tabs>
          <w:tab w:leader="none" w:pos="640" w:val="left"/>
        </w:tabs>
        <w:numPr>
          <w:ilvl w:val="0"/>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Yükseköğretim Yeterlikler Alt Komisyonu’nun görevleri şunlardır:</w:t>
      </w:r>
    </w:p>
    <w:p>
      <w:pPr>
        <w:spacing w:after="0" w:line="44" w:lineRule="exact"/>
        <w:rPr>
          <w:rFonts w:ascii="Times New Roman" w:cs="Times New Roman" w:eastAsia="Times New Roman" w:hAnsi="Times New Roman"/>
          <w:sz w:val="23"/>
          <w:szCs w:val="23"/>
          <w:b w:val="1"/>
          <w:bCs w:val="1"/>
          <w:color w:val="auto"/>
        </w:rPr>
      </w:pPr>
    </w:p>
    <w:p>
      <w:pPr>
        <w:ind w:left="1520" w:hanging="531"/>
        <w:spacing w:after="0" w:line="278"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TYYÇ ve ilgili alan yeterlilikleri kapsamında hedeflenen bölüm/program öğrenme kazanımlarını (çıktılarını) geliştirmek ve sürekli iyileştirmek,</w:t>
      </w:r>
    </w:p>
    <w:p>
      <w:pPr>
        <w:jc w:val="both"/>
        <w:ind w:left="1520" w:hanging="531"/>
        <w:spacing w:after="0" w:line="293" w:lineRule="auto"/>
        <w:tabs>
          <w:tab w:leader="none" w:pos="1520" w:val="left"/>
        </w:tabs>
        <w:numPr>
          <w:ilvl w:val="1"/>
          <w:numId w:val="11"/>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Bölüm/program öğrenme kazanımlarının (çıktılarının) oluşturulmasına katkıda bulunmak, bölüm/program öğrenme kazanımlarını (çıktılarını) güncellemek ve bölüm/program öğrenme kazanımlarının (çıktılarının) sürekli geliştirilmesi çalışmalarına öğrencilerin ve ilgili diğer paydaşların katılımını sağlamak,</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60"/>
        <w:spacing w:after="0"/>
        <w:rPr>
          <w:sz w:val="20"/>
          <w:szCs w:val="20"/>
          <w:color w:val="auto"/>
        </w:rPr>
      </w:pPr>
      <w:r>
        <w:rPr>
          <w:rFonts w:ascii="Calibri" w:cs="Calibri" w:eastAsia="Calibri" w:hAnsi="Calibri"/>
          <w:sz w:val="21"/>
          <w:szCs w:val="21"/>
          <w:color w:val="auto"/>
        </w:rPr>
        <w:t>5</w:t>
      </w:r>
    </w:p>
    <w:p>
      <w:pPr>
        <w:spacing w:after="0" w:line="2"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21"/>
          <w:szCs w:val="21"/>
          <w:color w:val="auto"/>
        </w:rPr>
        <w:t>Senato K.T. / No: 25.12.2013/27</w:t>
      </w:r>
    </w:p>
    <w:p>
      <w:pPr>
        <w:sectPr>
          <w:pgSz w:w="11900" w:h="16840" w:orient="portrait"/>
          <w:cols w:equalWidth="0" w:num="1">
            <w:col w:w="9080"/>
          </w:cols>
          <w:pgMar w:left="1440" w:top="1440" w:right="1384" w:bottom="1440"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both"/>
        <w:ind w:left="1520" w:hanging="531"/>
        <w:spacing w:after="0" w:line="281" w:lineRule="auto"/>
        <w:tabs>
          <w:tab w:leader="none" w:pos="1520" w:val="left"/>
        </w:tabs>
        <w:numPr>
          <w:ilvl w:val="1"/>
          <w:numId w:val="1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Müfredat tasarımı ve ders içeriklerinin, hedeflenen bölüm/program öğrenme kazanımlarını (çıktılarını) karşılayacak şekilde oluşturulmasına yardımcı olmak ve sürekli geliştirmek,</w:t>
      </w:r>
    </w:p>
    <w:p>
      <w:pPr>
        <w:jc w:val="both"/>
        <w:ind w:left="1520" w:hanging="531"/>
        <w:spacing w:after="0" w:line="280" w:lineRule="auto"/>
        <w:tabs>
          <w:tab w:leader="none" w:pos="1520" w:val="left"/>
        </w:tabs>
        <w:numPr>
          <w:ilvl w:val="1"/>
          <w:numId w:val="1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Derslerin öğrenme kazanımlarının (çıktılarının) tanımlanmasını ve hedeflenen bölüm/program öğrenme kazanımlarını (çıktılarını) hangi öğrenme yöntemleri ile ve hangi ölçüde karşılayacağını açıkça belirlemek,</w:t>
      </w:r>
    </w:p>
    <w:p>
      <w:pPr>
        <w:jc w:val="both"/>
        <w:ind w:left="1520" w:hanging="531"/>
        <w:spacing w:after="0" w:line="280" w:lineRule="auto"/>
        <w:tabs>
          <w:tab w:leader="none" w:pos="1520" w:val="left"/>
        </w:tabs>
        <w:numPr>
          <w:ilvl w:val="1"/>
          <w:numId w:val="1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Her bir eğitim-öğretim düzeyi için TYYÇ kapsamında belirlenmiş olan kredi ve öğrenci çalışma (iş) yükü aralıkları göz önünde bulundurularak, derslerin, öğrencilerin hedeflenen öğrenme kazanımlarına (çıktılarına) ulaşabilmesi için öngörülen teorik veya uygulamalı ders saatleri ile diğer çalışma ve faaliyetlerin çalışma (iş) yükü saatlerinin ve kredilerinin belirlenmesine katkıda bulunmak,</w:t>
      </w:r>
    </w:p>
    <w:p>
      <w:pPr>
        <w:jc w:val="both"/>
        <w:ind w:left="1520" w:hanging="531"/>
        <w:spacing w:after="0" w:line="280" w:lineRule="auto"/>
        <w:tabs>
          <w:tab w:leader="none" w:pos="1520" w:val="left"/>
        </w:tabs>
        <w:numPr>
          <w:ilvl w:val="1"/>
          <w:numId w:val="1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Ölçme ve değerlendirme süreçlerinin ilgili bölüm/program için belirlenmiş ders öğrenme kazanımlarını (çıktılarını) kazandırıp kazandırmadığını ölçecek ve değerlendirecek şekilde tasarlamak ve uygulanmasını sağlamak,</w:t>
      </w:r>
    </w:p>
    <w:p>
      <w:pPr>
        <w:jc w:val="both"/>
        <w:ind w:left="1520" w:hanging="531"/>
        <w:spacing w:after="0" w:line="279" w:lineRule="auto"/>
        <w:tabs>
          <w:tab w:leader="none" w:pos="1520" w:val="left"/>
        </w:tabs>
        <w:numPr>
          <w:ilvl w:val="1"/>
          <w:numId w:val="1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Hedeflenen ders öğrenme kazanımlarının (çıktılarının) öğrenci anketleri ile sorgulanmasını takip etmek ve alınan dönütler doğrultusunda ilgili süreçlerin sürekli iyileştirilmesini sağlamak,</w:t>
      </w:r>
    </w:p>
    <w:p>
      <w:pPr>
        <w:spacing w:after="0" w:line="2" w:lineRule="exact"/>
        <w:rPr>
          <w:rFonts w:ascii="Times New Roman" w:cs="Times New Roman" w:eastAsia="Times New Roman" w:hAnsi="Times New Roman"/>
          <w:sz w:val="23"/>
          <w:szCs w:val="23"/>
          <w:b w:val="1"/>
          <w:bCs w:val="1"/>
          <w:color w:val="auto"/>
        </w:rPr>
      </w:pPr>
    </w:p>
    <w:p>
      <w:pPr>
        <w:jc w:val="both"/>
        <w:ind w:left="1520" w:hanging="531"/>
        <w:spacing w:after="0" w:line="279" w:lineRule="auto"/>
        <w:tabs>
          <w:tab w:leader="none" w:pos="1520" w:val="left"/>
        </w:tabs>
        <w:numPr>
          <w:ilvl w:val="1"/>
          <w:numId w:val="1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Hedeflenen bölüm/program öğrenme kazanımlarının (çıktılarının) öğrencilere kazandırılıp kazandırılmadığının mezun ve işveren anketleri ile sorgulamak ve alınan dönütler doğrultusunda ilgili süreçlerin sürekli iyileştirilmesini sağlamak,</w:t>
      </w:r>
    </w:p>
    <w:p>
      <w:pPr>
        <w:spacing w:after="0" w:line="2"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2"/>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Bu çalışmaları iç ve dış kalite güvencesi uygulamaları ile ilişkilendirmek.</w:t>
      </w:r>
    </w:p>
    <w:p>
      <w:pPr>
        <w:spacing w:after="0" w:line="50" w:lineRule="exact"/>
        <w:rPr>
          <w:rFonts w:ascii="Times New Roman" w:cs="Times New Roman" w:eastAsia="Times New Roman" w:hAnsi="Times New Roman"/>
          <w:sz w:val="23"/>
          <w:szCs w:val="23"/>
          <w:b w:val="1"/>
          <w:bCs w:val="1"/>
          <w:color w:val="auto"/>
        </w:rPr>
      </w:pPr>
    </w:p>
    <w:p>
      <w:pPr>
        <w:ind w:left="640" w:hanging="352"/>
        <w:spacing w:after="0"/>
        <w:tabs>
          <w:tab w:leader="none" w:pos="640" w:val="left"/>
        </w:tabs>
        <w:numPr>
          <w:ilvl w:val="0"/>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 Katılımı ve Sosyal Boyut Alt Komisyonu’nun görevleri şunlardır:</w:t>
      </w:r>
    </w:p>
    <w:p>
      <w:pPr>
        <w:spacing w:after="0" w:line="43" w:lineRule="exact"/>
        <w:rPr>
          <w:rFonts w:ascii="Times New Roman" w:cs="Times New Roman" w:eastAsia="Times New Roman" w:hAnsi="Times New Roman"/>
          <w:sz w:val="23"/>
          <w:szCs w:val="23"/>
          <w:b w:val="1"/>
          <w:bCs w:val="1"/>
          <w:color w:val="auto"/>
        </w:rPr>
      </w:pPr>
    </w:p>
    <w:p>
      <w:pPr>
        <w:ind w:left="1520" w:hanging="531"/>
        <w:spacing w:after="0" w:line="277" w:lineRule="auto"/>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Avrupa Birliği, Yükseköğretim Kurulu ve yurtiçi / yurtdışı üniversiteler tarafından gerçekleştirilen çalışmaları takip etmek, strateji önerisi geliştirmek,</w:t>
      </w:r>
    </w:p>
    <w:p>
      <w:pPr>
        <w:spacing w:after="0" w:line="1" w:lineRule="exact"/>
        <w:rPr>
          <w:rFonts w:ascii="Times New Roman" w:cs="Times New Roman" w:eastAsia="Times New Roman" w:hAnsi="Times New Roman"/>
          <w:sz w:val="23"/>
          <w:szCs w:val="23"/>
          <w:b w:val="1"/>
          <w:bCs w:val="1"/>
          <w:color w:val="auto"/>
        </w:rPr>
      </w:pPr>
    </w:p>
    <w:p>
      <w:pPr>
        <w:ind w:left="1520" w:hanging="531"/>
        <w:spacing w:after="0" w:line="279" w:lineRule="auto"/>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Birimler bazında yapılan çalışmaları takip etmek, sorunlara yönelik çözüm önerileri geliştirmek,</w:t>
      </w:r>
    </w:p>
    <w:p>
      <w:pPr>
        <w:spacing w:after="0" w:line="1"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Alt Kurul çalışmalarını takvime bağlamak ve yapılan çalışmaları raporlamak,</w:t>
      </w:r>
    </w:p>
    <w:p>
      <w:pPr>
        <w:spacing w:after="0" w:line="50"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Konuya yönelik eğitim ihtiyacını önermek,</w:t>
      </w:r>
    </w:p>
    <w:p>
      <w:pPr>
        <w:spacing w:after="0" w:line="44"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Kaliteli eğitime eşit şartlarda erişim konusunda strateji önerileri geliştirmek,</w:t>
      </w:r>
    </w:p>
    <w:p>
      <w:pPr>
        <w:spacing w:after="0" w:line="42" w:lineRule="exact"/>
        <w:rPr>
          <w:rFonts w:ascii="Times New Roman" w:cs="Times New Roman" w:eastAsia="Times New Roman" w:hAnsi="Times New Roman"/>
          <w:sz w:val="23"/>
          <w:szCs w:val="23"/>
          <w:b w:val="1"/>
          <w:bCs w:val="1"/>
          <w:color w:val="auto"/>
        </w:rPr>
      </w:pPr>
    </w:p>
    <w:p>
      <w:pPr>
        <w:ind w:left="1520" w:hanging="531"/>
        <w:spacing w:after="0" w:line="278" w:lineRule="auto"/>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Öğrencilerin yükseköğretim yönetimine katılımlarını teşvik etmek ve konuya yönelik öneriler geliştirmek,</w:t>
      </w:r>
    </w:p>
    <w:p>
      <w:pPr>
        <w:ind w:left="1520" w:hanging="531"/>
        <w:spacing w:after="0"/>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Hayat boyu öğrenme anlayışının yerleşmesine katkıda bulunmak,</w:t>
      </w:r>
    </w:p>
    <w:p>
      <w:pPr>
        <w:spacing w:after="0" w:line="49" w:lineRule="exact"/>
        <w:rPr>
          <w:rFonts w:ascii="Times New Roman" w:cs="Times New Roman" w:eastAsia="Times New Roman" w:hAnsi="Times New Roman"/>
          <w:sz w:val="23"/>
          <w:szCs w:val="23"/>
          <w:b w:val="1"/>
          <w:bCs w:val="1"/>
          <w:color w:val="auto"/>
        </w:rPr>
      </w:pPr>
    </w:p>
    <w:p>
      <w:pPr>
        <w:ind w:left="1520" w:hanging="531"/>
        <w:spacing w:after="0" w:line="277" w:lineRule="auto"/>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Eğitime erişimle ilişkilendirilebilecek tüm sosyo-ekonomik göstergeleri/ verileri derlemek üzere yöntem geliştirmek,</w:t>
      </w:r>
    </w:p>
    <w:p>
      <w:pPr>
        <w:ind w:left="1520" w:hanging="532"/>
        <w:spacing w:after="0" w:line="280" w:lineRule="auto"/>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Toplumun sosyal, kültürel ve ekonomik gelişimlerini güçlendirmek için üniversitemizde uygulanabilecek strateji önerilerinde bulunmak,</w:t>
      </w:r>
    </w:p>
    <w:p>
      <w:pPr>
        <w:ind w:left="1520" w:hanging="531"/>
        <w:spacing w:after="0"/>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Öğrenciler için uygun çalışma ve yaşam şartlarını oluşturmak,</w:t>
      </w:r>
    </w:p>
    <w:p>
      <w:pPr>
        <w:spacing w:after="0" w:line="48" w:lineRule="exact"/>
        <w:rPr>
          <w:rFonts w:ascii="Times New Roman" w:cs="Times New Roman" w:eastAsia="Times New Roman" w:hAnsi="Times New Roman"/>
          <w:sz w:val="23"/>
          <w:szCs w:val="23"/>
          <w:b w:val="1"/>
          <w:bCs w:val="1"/>
          <w:color w:val="auto"/>
        </w:rPr>
      </w:pPr>
    </w:p>
    <w:p>
      <w:pPr>
        <w:ind w:left="1520" w:hanging="531"/>
        <w:spacing w:after="0"/>
        <w:tabs>
          <w:tab w:leader="none" w:pos="1520" w:val="left"/>
        </w:tabs>
        <w:numPr>
          <w:ilvl w:val="1"/>
          <w:numId w:val="13"/>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Öğrencilere rehberlik ve danışmanlık hizmetleri sunmak,</w:t>
      </w:r>
    </w:p>
    <w:p>
      <w:pPr>
        <w:spacing w:after="0" w:line="200" w:lineRule="exact"/>
        <w:rPr>
          <w:sz w:val="20"/>
          <w:szCs w:val="20"/>
          <w:color w:val="auto"/>
        </w:rPr>
      </w:pPr>
    </w:p>
    <w:p>
      <w:pPr>
        <w:spacing w:after="0" w:line="381" w:lineRule="exact"/>
        <w:rPr>
          <w:sz w:val="20"/>
          <w:szCs w:val="20"/>
          <w:color w:val="auto"/>
        </w:rPr>
      </w:pPr>
    </w:p>
    <w:p>
      <w:pPr>
        <w:jc w:val="center"/>
        <w:ind w:right="60"/>
        <w:spacing w:after="0"/>
        <w:rPr>
          <w:sz w:val="20"/>
          <w:szCs w:val="20"/>
          <w:color w:val="auto"/>
        </w:rPr>
      </w:pPr>
      <w:r>
        <w:rPr>
          <w:rFonts w:ascii="Calibri" w:cs="Calibri" w:eastAsia="Calibri" w:hAnsi="Calibri"/>
          <w:sz w:val="21"/>
          <w:szCs w:val="21"/>
          <w:color w:val="auto"/>
        </w:rPr>
        <w:t>6</w:t>
      </w:r>
    </w:p>
    <w:p>
      <w:pPr>
        <w:spacing w:after="0" w:line="2"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21"/>
          <w:szCs w:val="21"/>
          <w:color w:val="auto"/>
        </w:rPr>
        <w:t>Senato K.T. / No: 25.12.2013/27</w:t>
      </w:r>
    </w:p>
    <w:p>
      <w:pPr>
        <w:sectPr>
          <w:pgSz w:w="11900" w:h="16840" w:orient="portrait"/>
          <w:cols w:equalWidth="0" w:num="1">
            <w:col w:w="9080"/>
          </w:cols>
          <w:pgMar w:left="1440" w:top="1440" w:right="1384" w:bottom="1440" w:gutter="0" w:footer="0" w:header="0"/>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580" w:hanging="531"/>
        <w:spacing w:after="0" w:line="281" w:lineRule="auto"/>
        <w:tabs>
          <w:tab w:leader="none" w:pos="1580" w:val="left"/>
        </w:tabs>
        <w:numPr>
          <w:ilvl w:val="1"/>
          <w:numId w:val="14"/>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Dezavantajlı öğrenci gruplarını tespit ederek hükümet tarafından desteklenmesini sağlamak.</w:t>
      </w:r>
    </w:p>
    <w:p>
      <w:pPr>
        <w:spacing w:after="0" w:line="1" w:lineRule="exact"/>
        <w:rPr>
          <w:rFonts w:ascii="Times New Roman" w:cs="Times New Roman" w:eastAsia="Times New Roman" w:hAnsi="Times New Roman"/>
          <w:sz w:val="23"/>
          <w:szCs w:val="23"/>
          <w:b w:val="1"/>
          <w:bCs w:val="1"/>
          <w:color w:val="auto"/>
        </w:rPr>
      </w:pPr>
    </w:p>
    <w:p>
      <w:pPr>
        <w:ind w:left="940" w:hanging="242"/>
        <w:spacing w:after="0"/>
        <w:tabs>
          <w:tab w:leader="none" w:pos="940" w:val="left"/>
        </w:tabs>
        <w:numPr>
          <w:ilvl w:val="0"/>
          <w:numId w:val="15"/>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Hareketlilik Alt Komisyonu’nun görevleri şunlardır:</w:t>
      </w:r>
    </w:p>
    <w:p>
      <w:pPr>
        <w:spacing w:after="0" w:line="49" w:lineRule="exact"/>
        <w:rPr>
          <w:sz w:val="20"/>
          <w:szCs w:val="20"/>
          <w:color w:val="auto"/>
        </w:rPr>
      </w:pPr>
    </w:p>
    <w:p>
      <w:pPr>
        <w:ind w:left="1480" w:hanging="358"/>
        <w:spacing w:after="0"/>
        <w:tabs>
          <w:tab w:leader="none" w:pos="1480" w:val="left"/>
        </w:tabs>
        <w:numPr>
          <w:ilvl w:val="0"/>
          <w:numId w:val="1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Yetkili kişiler belirlemek ve yardımcı birimler oluşturmak,</w:t>
      </w:r>
    </w:p>
    <w:p>
      <w:pPr>
        <w:spacing w:after="0" w:line="43" w:lineRule="exact"/>
        <w:rPr>
          <w:rFonts w:ascii="Times New Roman" w:cs="Times New Roman" w:eastAsia="Times New Roman" w:hAnsi="Times New Roman"/>
          <w:sz w:val="23"/>
          <w:szCs w:val="23"/>
          <w:b w:val="1"/>
          <w:bCs w:val="1"/>
          <w:color w:val="auto"/>
        </w:rPr>
      </w:pPr>
    </w:p>
    <w:p>
      <w:pPr>
        <w:jc w:val="both"/>
        <w:ind w:left="1480" w:hanging="358"/>
        <w:spacing w:after="0" w:line="278" w:lineRule="auto"/>
        <w:tabs>
          <w:tab w:leader="none" w:pos="1480" w:val="left"/>
        </w:tabs>
        <w:numPr>
          <w:ilvl w:val="0"/>
          <w:numId w:val="1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Hareketlilik programları (Erasmus, Farabi vs) sürecini başlatmak, devam ettirmek, geliştirmek, ikili antlaşmaları arttırmak ve gerekli alt yapı çalışmalarını yürütmek ve sonuçlandırmak,</w:t>
      </w:r>
    </w:p>
    <w:p>
      <w:pPr>
        <w:spacing w:after="0" w:line="2" w:lineRule="exact"/>
        <w:rPr>
          <w:rFonts w:ascii="Times New Roman" w:cs="Times New Roman" w:eastAsia="Times New Roman" w:hAnsi="Times New Roman"/>
          <w:sz w:val="23"/>
          <w:szCs w:val="23"/>
          <w:b w:val="1"/>
          <w:bCs w:val="1"/>
          <w:color w:val="auto"/>
        </w:rPr>
      </w:pPr>
    </w:p>
    <w:p>
      <w:pPr>
        <w:ind w:left="1480" w:hanging="358"/>
        <w:spacing w:after="0" w:line="279" w:lineRule="auto"/>
        <w:tabs>
          <w:tab w:leader="none" w:pos="1480" w:val="left"/>
        </w:tabs>
        <w:numPr>
          <w:ilvl w:val="0"/>
          <w:numId w:val="1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Uluslararası ortak fakültelerle kurulacak muhtemel işbirliğini oluşturmak ve yürütmek,</w:t>
      </w:r>
    </w:p>
    <w:p>
      <w:pPr>
        <w:spacing w:after="0" w:line="1" w:lineRule="exact"/>
        <w:rPr>
          <w:rFonts w:ascii="Times New Roman" w:cs="Times New Roman" w:eastAsia="Times New Roman" w:hAnsi="Times New Roman"/>
          <w:sz w:val="23"/>
          <w:szCs w:val="23"/>
          <w:b w:val="1"/>
          <w:bCs w:val="1"/>
          <w:color w:val="auto"/>
        </w:rPr>
      </w:pPr>
    </w:p>
    <w:p>
      <w:pPr>
        <w:ind w:left="1480" w:hanging="358"/>
        <w:spacing w:after="0" w:line="280" w:lineRule="auto"/>
        <w:tabs>
          <w:tab w:leader="none" w:pos="1480" w:val="left"/>
        </w:tabs>
        <w:numPr>
          <w:ilvl w:val="0"/>
          <w:numId w:val="1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Üniversiteye eğitim veya araştırma amacıyla gelen uluslararası öğrenci ve personeli ağırlamak, sorunlarını çözmek ve adaptasyonunu sağlamak,</w:t>
      </w:r>
    </w:p>
    <w:p>
      <w:pPr>
        <w:ind w:left="1480" w:hanging="358"/>
        <w:spacing w:after="0"/>
        <w:tabs>
          <w:tab w:leader="none" w:pos="1480" w:val="left"/>
        </w:tabs>
        <w:numPr>
          <w:ilvl w:val="0"/>
          <w:numId w:val="1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Giden öğrenci ve personelle koordine halinde olmak,</w:t>
      </w:r>
    </w:p>
    <w:p>
      <w:pPr>
        <w:spacing w:after="0" w:line="48" w:lineRule="exact"/>
        <w:rPr>
          <w:rFonts w:ascii="Times New Roman" w:cs="Times New Roman" w:eastAsia="Times New Roman" w:hAnsi="Times New Roman"/>
          <w:sz w:val="23"/>
          <w:szCs w:val="23"/>
          <w:b w:val="1"/>
          <w:bCs w:val="1"/>
          <w:color w:val="auto"/>
        </w:rPr>
      </w:pPr>
    </w:p>
    <w:p>
      <w:pPr>
        <w:jc w:val="both"/>
        <w:ind w:left="1480" w:hanging="358"/>
        <w:spacing w:after="0" w:line="278" w:lineRule="auto"/>
        <w:tabs>
          <w:tab w:leader="none" w:pos="1480" w:val="left"/>
        </w:tabs>
        <w:numPr>
          <w:ilvl w:val="0"/>
          <w:numId w:val="1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Fakülteler arası ortaklıkların yanında uluslararası alanda bilimsel-eğitsel ilişkiler kurmak, geliştirmek ve yurtiçi – yurtdışı çeşitli etkinliklerin organizasyonunu ve bu organizasyonlara katılımı sağlamak,</w:t>
      </w:r>
    </w:p>
    <w:p>
      <w:pPr>
        <w:spacing w:after="0" w:line="1" w:lineRule="exact"/>
        <w:rPr>
          <w:rFonts w:ascii="Times New Roman" w:cs="Times New Roman" w:eastAsia="Times New Roman" w:hAnsi="Times New Roman"/>
          <w:sz w:val="23"/>
          <w:szCs w:val="23"/>
          <w:b w:val="1"/>
          <w:bCs w:val="1"/>
          <w:color w:val="auto"/>
        </w:rPr>
      </w:pPr>
    </w:p>
    <w:p>
      <w:pPr>
        <w:jc w:val="both"/>
        <w:ind w:left="1480" w:hanging="358"/>
        <w:spacing w:after="0" w:line="280" w:lineRule="auto"/>
        <w:tabs>
          <w:tab w:leader="none" w:pos="1480" w:val="left"/>
        </w:tabs>
        <w:numPr>
          <w:ilvl w:val="0"/>
          <w:numId w:val="1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Öğrenci öğrenim görme ve staj hareketliliği faaliyetleri için yıllık olarak Rektörlükçe belirlenen kontenjanlar çerçevesinde gerekli başvuru süreçlerini yürütmek ve sonuçlandırmak,</w:t>
      </w:r>
    </w:p>
    <w:p>
      <w:pPr>
        <w:spacing w:after="0" w:line="1" w:lineRule="exact"/>
        <w:rPr>
          <w:rFonts w:ascii="Times New Roman" w:cs="Times New Roman" w:eastAsia="Times New Roman" w:hAnsi="Times New Roman"/>
          <w:sz w:val="23"/>
          <w:szCs w:val="23"/>
          <w:b w:val="1"/>
          <w:bCs w:val="1"/>
          <w:color w:val="auto"/>
        </w:rPr>
      </w:pPr>
    </w:p>
    <w:p>
      <w:pPr>
        <w:ind w:left="1480" w:hanging="358"/>
        <w:spacing w:after="0" w:line="318" w:lineRule="auto"/>
        <w:tabs>
          <w:tab w:leader="none" w:pos="1480" w:val="left"/>
        </w:tabs>
        <w:numPr>
          <w:ilvl w:val="0"/>
          <w:numId w:val="16"/>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Web sayfasının ilgili alanlarına gerekli güncellemeleri Bilgi İşlem Müdürlüğü’ne iletmek.</w:t>
      </w:r>
    </w:p>
    <w:p>
      <w:pPr>
        <w:spacing w:after="0" w:line="200" w:lineRule="exact"/>
        <w:rPr>
          <w:sz w:val="20"/>
          <w:szCs w:val="20"/>
          <w:color w:val="auto"/>
        </w:rPr>
      </w:pPr>
    </w:p>
    <w:p>
      <w:pPr>
        <w:spacing w:after="0" w:line="32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Alt Kurulların Kuruluşu</w:t>
      </w:r>
    </w:p>
    <w:p>
      <w:pPr>
        <w:spacing w:after="0" w:line="54"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23"/>
          <w:szCs w:val="23"/>
          <w:b w:val="1"/>
          <w:bCs w:val="1"/>
          <w:color w:val="auto"/>
        </w:rPr>
        <w:t xml:space="preserve">Madde 10 – </w:t>
      </w:r>
      <w:r>
        <w:rPr>
          <w:rFonts w:ascii="Times New Roman" w:cs="Times New Roman" w:eastAsia="Times New Roman" w:hAnsi="Times New Roman"/>
          <w:sz w:val="23"/>
          <w:szCs w:val="23"/>
          <w:color w:val="auto"/>
        </w:rPr>
        <w:t>THKÜ-BEK tarafından, alt komisyonlara çalışmalar konusunda yardım etmek</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amacıyla Enstitü, Fakülte ve Meslek Yüksekokullarında oluşturulan kurullardır. Kurulun başkanlığını, kendi aralarından seçecekleri bir üye yürütür. Kurul gerekli görmesi halinde, bölüm/ program çalışma gruplarını oluşturabilir ve görevlendirme yapabilir.</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Yürürlük</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 xml:space="preserve">Madde 11- </w:t>
      </w:r>
      <w:r>
        <w:rPr>
          <w:rFonts w:ascii="Times New Roman" w:cs="Times New Roman" w:eastAsia="Times New Roman" w:hAnsi="Times New Roman"/>
          <w:sz w:val="23"/>
          <w:szCs w:val="23"/>
          <w:color w:val="auto"/>
        </w:rPr>
        <w:t>Bu Yönerge onaylandığı tarihten itibaren yürürlüğe girer.</w:t>
      </w:r>
    </w:p>
    <w:p>
      <w:pPr>
        <w:spacing w:after="0" w:line="45"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Yürütme</w: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 xml:space="preserve">Madde 12- </w:t>
      </w:r>
      <w:r>
        <w:rPr>
          <w:rFonts w:ascii="Times New Roman" w:cs="Times New Roman" w:eastAsia="Times New Roman" w:hAnsi="Times New Roman"/>
          <w:sz w:val="23"/>
          <w:szCs w:val="23"/>
          <w:color w:val="auto"/>
        </w:rPr>
        <w:t>Bu Yönerge hükümlerini Türk Hava Kurumu Üniversitesi Rektörü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Calibri" w:cs="Calibri" w:eastAsia="Calibri" w:hAnsi="Calibri"/>
          <w:sz w:val="21"/>
          <w:szCs w:val="21"/>
          <w:color w:val="auto"/>
        </w:rPr>
        <w:t>7</w:t>
      </w:r>
    </w:p>
    <w:p>
      <w:pPr>
        <w:spacing w:after="0" w:line="2" w:lineRule="exact"/>
        <w:rPr>
          <w:sz w:val="20"/>
          <w:szCs w:val="20"/>
          <w:color w:val="auto"/>
        </w:rPr>
      </w:pPr>
    </w:p>
    <w:p>
      <w:pPr>
        <w:ind w:left="6340"/>
        <w:spacing w:after="0"/>
        <w:rPr>
          <w:sz w:val="20"/>
          <w:szCs w:val="20"/>
          <w:color w:val="auto"/>
        </w:rPr>
      </w:pPr>
      <w:r>
        <w:rPr>
          <w:rFonts w:ascii="Times New Roman" w:cs="Times New Roman" w:eastAsia="Times New Roman" w:hAnsi="Times New Roman"/>
          <w:sz w:val="21"/>
          <w:szCs w:val="21"/>
          <w:color w:val="auto"/>
        </w:rPr>
        <w:t>Senato K.T. / No: 25.12.2013/27</w:t>
      </w:r>
    </w:p>
    <w:sectPr>
      <w:pgSz w:w="11900" w:h="16840" w:orient="portrait"/>
      <w:cols w:equalWidth="0" w:num="1">
        <w:col w:w="9140"/>
      </w:cols>
      <w:pgMar w:left="1380" w:top="1440" w:right="1384"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15F007C"/>
    <w:multiLevelType w:val="hybridMultilevel"/>
    <w:lvl w:ilvl="0">
      <w:lvlJc w:val="left"/>
      <w:lvlText w:val="%1)"/>
      <w:numFmt w:val="lowerLetter"/>
      <w:start w:val="1"/>
    </w:lvl>
  </w:abstractNum>
  <w:abstractNum w:abstractNumId="1">
    <w:nsid w:val="5BD062C2"/>
    <w:multiLevelType w:val="hybridMultilevel"/>
    <w:lvl w:ilvl="0">
      <w:lvlJc w:val="left"/>
      <w:lvlText w:val="%1)"/>
      <w:numFmt w:val="lowerLetter"/>
      <w:start w:val="4"/>
    </w:lvl>
  </w:abstractNum>
  <w:abstractNum w:abstractNumId="2">
    <w:nsid w:val="12200854"/>
    <w:multiLevelType w:val="hybridMultilevel"/>
    <w:lvl w:ilvl="0">
      <w:lvlJc w:val="left"/>
      <w:lvlText w:val="%1)"/>
      <w:numFmt w:val="lowerLetter"/>
      <w:start w:val="11"/>
    </w:lvl>
  </w:abstractNum>
  <w:abstractNum w:abstractNumId="3">
    <w:nsid w:val="4DB127F8"/>
    <w:multiLevelType w:val="hybridMultilevel"/>
    <w:lvl w:ilvl="0">
      <w:lvlJc w:val="left"/>
      <w:lvlText w:val="%1)"/>
      <w:numFmt w:val="lowerLetter"/>
      <w:start w:val="1"/>
    </w:lvl>
  </w:abstractNum>
  <w:abstractNum w:abstractNumId="4">
    <w:nsid w:val="216231B"/>
    <w:multiLevelType w:val="hybridMultilevel"/>
    <w:lvl w:ilvl="0">
      <w:lvlJc w:val="left"/>
      <w:lvlText w:val="%1)"/>
      <w:numFmt w:val="lowerLetter"/>
      <w:start w:val="4"/>
    </w:lvl>
  </w:abstractNum>
  <w:abstractNum w:abstractNumId="5">
    <w:nsid w:val="1F16E9E8"/>
    <w:multiLevelType w:val="hybridMultilevel"/>
    <w:lvl w:ilvl="0">
      <w:lvlJc w:val="left"/>
      <w:lvlText w:val="%1)"/>
      <w:numFmt w:val="lowerLetter"/>
      <w:start w:val="1"/>
    </w:lvl>
  </w:abstractNum>
  <w:abstractNum w:abstractNumId="6">
    <w:nsid w:val="1190CDE7"/>
    <w:multiLevelType w:val="hybridMultilevel"/>
    <w:lvl w:ilvl="0">
      <w:lvlJc w:val="left"/>
      <w:lvlText w:val="%1)"/>
      <w:numFmt w:val="lowerLetter"/>
      <w:start w:val="1"/>
    </w:lvl>
  </w:abstractNum>
  <w:abstractNum w:abstractNumId="7">
    <w:nsid w:val="66EF438D"/>
    <w:multiLevelType w:val="hybridMultilevel"/>
    <w:lvl w:ilvl="0">
      <w:lvlJc w:val="left"/>
      <w:lvlText w:val="%1)"/>
      <w:numFmt w:val="lowerLetter"/>
      <w:start w:val="4"/>
    </w:lvl>
  </w:abstractNum>
  <w:abstractNum w:abstractNumId="8">
    <w:nsid w:val="140E0F76"/>
    <w:multiLevelType w:val="hybridMultilevel"/>
    <w:lvl w:ilvl="0">
      <w:lvlJc w:val="left"/>
      <w:lvlText w:val="%1)"/>
      <w:numFmt w:val="lowerLetter"/>
      <w:start w:val="1"/>
    </w:lvl>
    <w:lvl w:ilvl="1">
      <w:lvlJc w:val="left"/>
      <w:lvlText w:val="%2."/>
      <w:numFmt w:val="decimal"/>
      <w:start w:val="1"/>
    </w:lvl>
  </w:abstractNum>
  <w:abstractNum w:abstractNumId="9">
    <w:nsid w:val="3352255A"/>
    <w:multiLevelType w:val="hybridMultilevel"/>
    <w:lvl w:ilvl="0">
      <w:lvlJc w:val="left"/>
      <w:lvlText w:val="%1"/>
      <w:numFmt w:val="lowerLetter"/>
      <w:start w:val="1"/>
    </w:lvl>
    <w:lvl w:ilvl="1">
      <w:lvlJc w:val="left"/>
      <w:lvlText w:val="%2."/>
      <w:numFmt w:val="decimal"/>
      <w:start w:val="6"/>
    </w:lvl>
  </w:abstractNum>
  <w:abstractNum w:abstractNumId="10">
    <w:nsid w:val="109CF92E"/>
    <w:multiLevelType w:val="hybridMultilevel"/>
    <w:lvl w:ilvl="0">
      <w:lvlJc w:val="left"/>
      <w:lvlText w:val="%1)"/>
      <w:numFmt w:val="lowerLetter"/>
      <w:start w:val="2"/>
    </w:lvl>
    <w:lvl w:ilvl="1">
      <w:lvlJc w:val="left"/>
      <w:lvlText w:val="%2."/>
      <w:numFmt w:val="decimal"/>
      <w:start w:val="1"/>
    </w:lvl>
  </w:abstractNum>
  <w:abstractNum w:abstractNumId="11">
    <w:nsid w:val="DED7263"/>
    <w:multiLevelType w:val="hybridMultilevel"/>
    <w:lvl w:ilvl="0">
      <w:lvlJc w:val="left"/>
      <w:lvlText w:val="%1"/>
      <w:numFmt w:val="lowerLetter"/>
      <w:start w:val="1"/>
    </w:lvl>
    <w:lvl w:ilvl="1">
      <w:lvlJc w:val="left"/>
      <w:lvlText w:val="%2."/>
      <w:numFmt w:val="decimal"/>
      <w:start w:val="3"/>
    </w:lvl>
  </w:abstractNum>
  <w:abstractNum w:abstractNumId="12">
    <w:nsid w:val="7FDCC233"/>
    <w:multiLevelType w:val="hybridMultilevel"/>
    <w:lvl w:ilvl="0">
      <w:lvlJc w:val="left"/>
      <w:lvlText w:val="%1)"/>
      <w:numFmt w:val="lowerLetter"/>
      <w:start w:val="4"/>
    </w:lvl>
    <w:lvl w:ilvl="1">
      <w:lvlJc w:val="left"/>
      <w:lvlText w:val="%2."/>
      <w:numFmt w:val="decimal"/>
      <w:start w:val="1"/>
    </w:lvl>
  </w:abstractNum>
  <w:abstractNum w:abstractNumId="13">
    <w:nsid w:val="1BEFD79F"/>
    <w:multiLevelType w:val="hybridMultilevel"/>
    <w:lvl w:ilvl="0">
      <w:lvlJc w:val="left"/>
      <w:lvlText w:val="%1"/>
      <w:numFmt w:val="lowerLetter"/>
      <w:start w:val="1"/>
    </w:lvl>
    <w:lvl w:ilvl="1">
      <w:lvlJc w:val="left"/>
      <w:lvlText w:val="%2."/>
      <w:numFmt w:val="decimal"/>
      <w:start w:val="12"/>
    </w:lvl>
  </w:abstractNum>
  <w:abstractNum w:abstractNumId="14">
    <w:nsid w:val="41A7C4C9"/>
    <w:multiLevelType w:val="hybridMultilevel"/>
    <w:lvl w:ilvl="0">
      <w:lvlJc w:val="left"/>
      <w:lvlText w:val="%1)"/>
      <w:numFmt w:val="lowerLetter"/>
      <w:start w:val="5"/>
    </w:lvl>
    <w:lvl w:ilvl="1">
      <w:lvlJc w:val="left"/>
      <w:lvlText w:val="%2"/>
      <w:numFmt w:val="decimal"/>
      <w:start w:val="1"/>
    </w:lvl>
  </w:abstractNum>
  <w:abstractNum w:abstractNumId="15">
    <w:nsid w:val="6B68079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2020-12-14T11:39:11Z</dcterms:created>
  <dcterms:modified xsi:type="dcterms:W3CDTF">2020-12-14T11:39:11Z</dcterms:modified>
</cp:coreProperties>
</file>