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TÜRK HAVA KURUMU ÜNİVERSİTESİ</w:t>
      </w: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HİZMET İÇİ EĞİTİM YÖNERGESİ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BİRİNCİ BÖLÜM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Genel Hükümler</w:t>
      </w: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Amaç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Bu Yönergenin amacı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Türk Hava Kurumu 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niversitesi idari personeline uygulanacak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hizmet içi eğitim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 usul ve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esaslarını düzenlemektir.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Kapsam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Madde 2 -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(1)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Bu Yöne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rge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hükümleri, Türk Hava Kurumu Üniversitesinde görev yapan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idari personeli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kapsar.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Dayanak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firstLine="451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3 -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Bu Yön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erge,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Vakıf Yükseköğretim Kurumları Yönetmeliğinin 23’üncü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maddesi ve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Türk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Hava Kurumu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Üniversitesi Ana Yönetmeliği’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ne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dayanarak hazırlanmıştır.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Tanımlar</w:t>
      </w:r>
    </w:p>
    <w:p>
      <w:pPr>
        <w:ind w:left="4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4 -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Bu Yönergede yer alan;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Üniversite: Türk Hava Kurumu Üniversitesini,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Rektörlük: Türk Hava Kurumu Üniversitesi Rektörlüğünü,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Rektör: Türk Hava Kurumu Üniversitesi Rektörünü,</w:t>
      </w: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ç) 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Eğitmen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H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izmet içi eğitim faaliyetini yürüten eğit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iciyi,</w:t>
      </w: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 Kurulu: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Türk Hava Kurumu Üniversitesi Eğitim Kurulunu,</w:t>
      </w: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Programı: Yıllık eğitim planına göre düzenlenen eğitimi,</w:t>
      </w: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Hizmet İçi Eğitim: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Kurs, seminer, konferans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ve benzeri eğitim etkinliği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ni,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60" w:right="860" w:hanging="8"/>
        <w:spacing w:after="0" w:line="234" w:lineRule="auto"/>
        <w:tabs>
          <w:tab w:leader="none" w:pos="71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Katılım Belgesi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H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izmet içi eğitime katılan ve başarılı değerlendirilenlere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verilen belgeyi,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ğ)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Kursiyer: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Hizmet içi eğitim faaliyetlerine katı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lan idari personeli,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60" w:hanging="8"/>
        <w:spacing w:after="0" w:line="234" w:lineRule="auto"/>
        <w:tabs>
          <w:tab w:leader="none" w:pos="71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Program Yöneticisi: Hizmet içi eğitim programının yürütülmesinden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sorumlu olan birim yetkilisini,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ı)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Yıllık Eğitim Planı: Eğitim Kurulu tarafından hazırlanan planı,</w:t>
      </w: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Değerlendirme Raporu: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Hizmet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içi eğitim sonrası hazırlanan değerlendirme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raporunu,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İfade eder.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İKİNCİ BÖLÜM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Organlar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ve Görevleri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Eğitim Kurulu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right="20" w:firstLine="451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5 -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Kurulu; Rektörün görevlendireceği rektör yardımcısının başkanlığında: Genel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Sekreter,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İdari Birim Yöneticilerinden oluşur.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right="20" w:firstLine="452"/>
        <w:spacing w:after="0" w:line="250" w:lineRule="auto"/>
        <w:tabs>
          <w:tab w:leader="none" w:pos="79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Eğitim Kurulu her yıl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Haziran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ayı içerisinde olağan, gerekli görülen hallerde Rektörün çağrısı üzerine olağanüstü toplanır.</w:t>
      </w:r>
    </w:p>
    <w:p>
      <w:pPr>
        <w:ind w:left="760" w:hanging="308"/>
        <w:spacing w:after="0"/>
        <w:tabs>
          <w:tab w:leader="none" w:pos="7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Kurulu’nun kararları Rektörün onayıyla kesinleşir.</w:t>
      </w:r>
    </w:p>
    <w:p>
      <w:pPr>
        <w:ind w:left="760" w:hanging="308"/>
        <w:spacing w:after="0"/>
        <w:tabs>
          <w:tab w:leader="none" w:pos="7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Kurulun sekretarya hizmetleri, Personel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Müdürlüğü tarafından yürütülür.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Görevleri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6 -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Kurulu;</w:t>
      </w: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Yönerge eki ilke ve hedeflere göre hizmet içi eğitim politikasını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saptamak,</w:t>
      </w: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Bir önceki yılın hizmet içi eğitim faaliyetlerini değerlendirmek,</w:t>
      </w: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Hizmet içi eğitim ihtiyaçlarını analize göre belirlemek,</w:t>
      </w:r>
    </w:p>
    <w:p>
      <w:pPr>
        <w:ind w:left="50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ç)</w:t>
        <w:tab/>
        <w:t>Gelecek yılın eğitim planını hazırlamak,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Hizmet içi eğitim yönergesinde yapılacak değişikler hakkında görüş bildirmek,</w:t>
      </w: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etkinliklerine ilişkin istek, öneri ve şikâyetleri değerlendirmek ve karara bağlamak,</w:t>
      </w: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Diğer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kurum ve kuru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luşlar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ile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işbirliği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olanak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ve kaynaklarını araştırmak.</w:t>
      </w: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Mütevelli Heyet K.T./No: 03.12.2019/10</w:t>
      </w:r>
    </w:p>
    <w:p>
      <w:pPr>
        <w:sectPr>
          <w:pgSz w:w="11900" w:h="16838" w:orient="portrait"/>
          <w:cols w:equalWidth="0" w:num="1">
            <w:col w:w="9480"/>
          </w:cols>
          <w:pgMar w:left="1360" w:top="1125" w:right="1066" w:bottom="310" w:gutter="0" w:footer="0" w:header="0"/>
        </w:sectPr>
      </w:pPr>
    </w:p>
    <w:bookmarkStart w:id="1" w:name="page2"/>
    <w:bookmarkEnd w:id="1"/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Personel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Müdürlüğü’nün ve İlgili Birim Müdürlükleri’nin Hizmet İçi Eğitime İlişkin Görevleri: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Madde 7 -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(1)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Bu yöne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rge ile belirlenen hi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zmet içi eğitim çalışmaları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 Personel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Müdürlüğünce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yürütülür.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Personel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Müdürlüğü’nün hizmet içi eğitim faaliyetlerine ilişkin görevleri: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Kurulunun sekretarya hizmetlerini yürütmek ve toplantı organizasyonu hazırlamak,</w:t>
      </w: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Kurul kararlarını uygulamak,</w:t>
      </w: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Hizmet içi eğitim planına göre hazırlanacak eğitim programlarını duyurmak,</w:t>
      </w:r>
    </w:p>
    <w:p>
      <w:pPr>
        <w:ind w:left="50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ç)</w:t>
        <w:tab/>
        <w:t>Eğitim programlarının uygulanmasını koordine etmek,</w:t>
      </w: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Kursiyerlerin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etkinliğe devam durumlarını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kontrol etmek,</w:t>
      </w: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Eğitmenlerin puantajını tutmak, Eğitim giderlerine ilişkin tahakkuk işlemlerini yürütmek,</w:t>
      </w: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programı ile ilgili araç, gereç ve sarf malzemelerini temin etmek,</w:t>
      </w:r>
    </w:p>
    <w:p>
      <w:pPr>
        <w:ind w:left="860" w:hanging="367"/>
        <w:spacing w:after="0"/>
        <w:tabs>
          <w:tab w:leader="none" w:pos="8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değerlendirmesine ilişkin sınav evrakını arşivlemek, kayıtları tutmak,</w:t>
      </w:r>
    </w:p>
    <w:p>
      <w:pPr>
        <w:ind w:left="50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ğ)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sunmak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ve kayıtlarını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tutmak,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00" w:right="3520" w:hanging="7"/>
        <w:spacing w:after="0" w:line="235" w:lineRule="auto"/>
        <w:tabs>
          <w:tab w:leader="none" w:pos="8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Hizmet İçi Eğitim Değerlendirme Raporlarını hazırlamak, ı)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ğitim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verilerini analiz etmek, yorumlamak.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Kursiyerin Birim Yöneticisinin hizmet içi eğitim faaliyetlerine ilişkin görevleri:</w:t>
      </w:r>
    </w:p>
    <w:p>
      <w:pPr>
        <w:ind w:left="680" w:hanging="228"/>
        <w:spacing w:after="0" w:line="236" w:lineRule="auto"/>
        <w:tabs>
          <w:tab w:leader="none" w:pos="6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Hizmet içi eğitim faaliyetinin, başarısını, verimliliğini izlemek ve değerlendirmek,</w:t>
      </w: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ihtiyaçlarına ilişkin araştırma yapmak ve Eğitim Kuruluna öneride bulunmak,</w:t>
      </w:r>
    </w:p>
    <w:p>
      <w:pPr>
        <w:ind w:left="680" w:hanging="228"/>
        <w:spacing w:after="0"/>
        <w:tabs>
          <w:tab w:leader="none" w:pos="6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verilerini elektronik ve fiziki ortamda izlemek.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Basın,Yayın ve Halkla İlişkiler Müdürlüğü’nün hizmet içi eğitim faaliyetlerine ilişkin görevleri:</w:t>
      </w:r>
    </w:p>
    <w:p>
      <w:pPr>
        <w:ind w:left="4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a) Kursiyerlerin katılım veya başarı belgelerini hazırlamak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ÜÇÜNCÜ BÖLÜM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Eğitim Görevlileri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Eğitmenlerin Seçimi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firstLine="451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8 -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izmet içi eğitim programlarına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öncelikle Üniversite personeli içinden eği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tmen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seçilir.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İlgili program konusunda Üniversitede görev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verilecek yetkin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personel bulunmaması veya konunun Üniversite dışında uzman kişiler tarafından işlenmesinde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yarar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görülmesi halinde, Personel Müdürlüğünün önerisi, Eğitim Kurulu kararı ve Rektörün onayı ile Üniversite dışından eğitici görevlendirilir.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Eğitmen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lerin Nitelikleri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firstLine="451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9 -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Hizmet içi eğitim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faaliyetleri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nde görevlendirilecek eğitmenlerde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aşağıda gösterilen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nitelikler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aranır.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firstLine="428"/>
        <w:spacing w:after="0" w:line="256" w:lineRule="auto"/>
        <w:tabs>
          <w:tab w:leader="none" w:pos="70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Üniversite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nin akademik personelinden se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çilecek eğit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menlerin;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öncelikle eğitim konusuna ilişkin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bilim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alanında uzman en az öğretim görevlisi düzeyinde,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idari personelden belirlenecek ise;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programına ait alanda çalışarak deneyim kazanmış olması ve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aktarma-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sunuş yeteneğine sahip olması.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firstLine="428"/>
        <w:spacing w:after="0" w:line="250" w:lineRule="auto"/>
        <w:tabs>
          <w:tab w:leader="none" w:pos="70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Diğer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kurumlardan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görevlendirilecek eğit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menlerin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, eğitim programı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konusunda yetkin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ve sunuş yeteneğine sahip olması,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firstLine="428"/>
        <w:spacing w:after="0" w:line="250" w:lineRule="auto"/>
        <w:tabs>
          <w:tab w:leader="none" w:pos="70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Diğer Üniversitelerden görevlendirilecek eğit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menlerin,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eğitim konusuna ilişkin bilim alanında uzman en az öğretim görevlisi düzeyinde,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40" w:right="160" w:firstLine="89"/>
        <w:spacing w:after="0" w:line="250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ç) Herhangi bir kurumda görevli olmayanlar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seçilecek eğiticilerin ise konularında uzman olması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sastır.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Eğitmenlerin Yetki ve Sorumlulukları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10 -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Eğitimciler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Eğitim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plan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yapmakla,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0" w:firstLine="452"/>
        <w:spacing w:after="0" w:line="235" w:lineRule="auto"/>
        <w:tabs>
          <w:tab w:leader="none" w:pos="70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Eğitim planı ile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ilgili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yazılı kayıt bulunmaması halinde, eğitim notları hazırlayıp programın başlamasından en az üç gün önce program yöneticisine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iletmekle,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Mütevelli Heyet K.T./No: 03.12.2019/10</w:t>
      </w:r>
    </w:p>
    <w:p>
      <w:pPr>
        <w:sectPr>
          <w:pgSz w:w="11900" w:h="16838" w:orient="portrait"/>
          <w:cols w:equalWidth="0" w:num="1">
            <w:col w:w="9480"/>
          </w:cols>
          <w:pgMar w:left="1360" w:top="1125" w:right="1066" w:bottom="310" w:gutter="0" w:footer="0" w:header="0"/>
        </w:sectPr>
      </w:pPr>
    </w:p>
    <w:bookmarkStart w:id="2" w:name="page3"/>
    <w:bookmarkEnd w:id="2"/>
    <w:p>
      <w:pPr>
        <w:ind w:firstLine="452"/>
        <w:spacing w:after="0" w:line="234" w:lineRule="auto"/>
        <w:tabs>
          <w:tab w:leader="none" w:pos="70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Eğitim konularını işlerken kursiyerlerin eğitime katılımını sağlayacak güncel eğitim tekniklerini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uygulamakla,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0" w:firstLine="451"/>
        <w:spacing w:after="0" w:line="23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ç) Eğitim süresi içinde sözlü veya yazılı sınav yapmak ve kursiyerlerin birim amirlerinin de katılımıyla değerlendirmekle,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firstLine="452"/>
        <w:spacing w:after="0" w:line="235" w:lineRule="auto"/>
        <w:tabs>
          <w:tab w:leader="none" w:pos="70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süresince program yöneticisi ile işbirliği yap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arak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 eğitim faaliyetinin etkinliğini değerlendirmekle,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0" w:firstLine="452"/>
        <w:spacing w:after="0" w:line="250" w:lineRule="auto"/>
        <w:tabs>
          <w:tab w:leader="none" w:pos="70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Zorunlu sebeplerle görevlerine devam edememeleri halinde durumu program yöneticisine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bildirmekle,</w:t>
      </w:r>
    </w:p>
    <w:p>
      <w:pPr>
        <w:ind w:left="46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Görevli ve sorumludurlar.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Program Yöneticisi</w:t>
      </w:r>
    </w:p>
    <w:p>
      <w:pPr>
        <w:ind w:left="4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11 -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Personel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Müdürlüğü hizmet içi eğitim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faaliyetlerinin program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yöneticisi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dir.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Program Yöneticisinin Görevleri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12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Program yöneticisi;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programının gerçekleştirilmesi için gereken hazırlığı yapmakla,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0" w:firstLine="452"/>
        <w:spacing w:after="0" w:line="234" w:lineRule="auto"/>
        <w:tabs>
          <w:tab w:leader="none" w:pos="708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Eğiticiler tarafından kendisine teslim edilen eğitim notlarını çoğaltarak kursiyerlere dağıtmak, gerekli araç ve gereçleri eğitimde hazır bulundurmakla,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Eğiticiler ile işbirliği içinde kursiyerlerin eğitime katılmalarını sağlamakla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right="20" w:firstLine="45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ç)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Kursiyerlerin disiplin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kurallarına aykırı davranışlarını tespit ederek Personel Müdürlüğü’ne bilgi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vermekle,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Gerekli görüldüğünde çalışmaların değerlendirilmesi ile ilgili anketlerin uygulanmasını sağlamakla,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jc w:val="both"/>
        <w:ind w:firstLine="452"/>
        <w:spacing w:after="0" w:line="251" w:lineRule="auto"/>
        <w:tabs>
          <w:tab w:leader="none" w:pos="70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Eğitim sonunda, kursiyerlerin devam durumlarını, eğitimi olumlu veya olumsuz yönde etkileyen faktörleri ve alınması gereken tedbirlere ilişkin önerileri de kapsayan değerlendirme raporunu hazırlamakla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,</w:t>
      </w:r>
    </w:p>
    <w:p>
      <w:pPr>
        <w:ind w:left="700" w:hanging="248"/>
        <w:spacing w:after="0"/>
        <w:tabs>
          <w:tab w:leader="none" w:pos="70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konusunda verilecek diğer görevleri yapmakla,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Yükümlüdür.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DÖRDÜNCÜ BÖLÜM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Eğitimin Planlanması ve Uygulanması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Yıllık Eğitim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Plan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ı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firstLine="451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13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(1)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Üniversitenin eğitim uygulamaları yıllık eğitim planına dayanılarak gerçekleştirilen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eğitim programları doğrultusunda yürütülür.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Personel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Müdürlüğü, diğer birimler ile işbirliği yaparak, en geç Mayıs ayı sonuna kadar bir sonraki yılın hizmet içi eğitim planını hazırlar. Bu plan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Haziran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ayında Eğitim Kurulu'nda görüşüldükten sonra Rektörün onayı ile kesinleşir. Kesinleşen bu plan doğrultusunda güz ve bahar Eğitim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Öğretim dönemlerinde yapılacak Eğitim programları ilgili birimlere eğitim çalışmalarından en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az on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gün önce duyurulur. Eğitim programlarında, eğitimin konusu, süresi, yeri, yöntemi, eğiticiler ve gerekli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diğer hususlar belirtilir.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Eğitim Programları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14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(1)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programları;</w:t>
      </w:r>
    </w:p>
    <w:p>
      <w:pPr>
        <w:ind w:left="700" w:hanging="207"/>
        <w:spacing w:after="0"/>
        <w:tabs>
          <w:tab w:leader="none" w:pos="70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Başlangıç Eğitimleri;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Temel Alan 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ğitim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Göreve Hazırlayıcı Eğitim ve Staj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</w:p>
    <w:p>
      <w:pPr>
        <w:ind w:left="700" w:hanging="207"/>
        <w:spacing w:after="0"/>
        <w:tabs>
          <w:tab w:leader="none" w:pos="70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Olgunlaştırma Eğitimleri; Değişikliklere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Uyum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Eğitimi, Alan Bilgisi Yenileme Eğitimi,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493"/>
        <w:spacing w:after="0" w:line="237" w:lineRule="auto"/>
        <w:tabs>
          <w:tab w:leader="none" w:pos="70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Özelliği Olan Eğitimler; Verimliliği Arttırma Eğitimi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Eğiticilerin Eğitimi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Yerinde Gözlem ve İnceleme, olmak üzere; kurs, seminer, konferans, uygulamalı eğitim, panel, sempozyum, tartışma, staj, araştırma, yurt içi, yurt dışı incelemeler ve gözlem gibi metotlardan bir veya bir kaçı birlikte uygulanm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suretiyle düzenlenir.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Eğitim Konuları, Süresi ve Yeri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15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Bu Yönerge hükümlerine göre;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firstLine="568"/>
        <w:spacing w:after="0" w:line="250" w:lineRule="auto"/>
        <w:tabs>
          <w:tab w:leader="none" w:pos="852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konuları, p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ersonelin hizmet veya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çalışmasına göre verimsiz görülen, ihtiyaç duyulan alanlara göre ihtiyaç analizi ile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belirlenir.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Mütevelli Heyet K.T./No: 03.12.2019/10</w:t>
      </w:r>
    </w:p>
    <w:p>
      <w:pPr>
        <w:sectPr>
          <w:pgSz w:w="11900" w:h="16838" w:orient="portrait"/>
          <w:cols w:equalWidth="0" w:num="1">
            <w:col w:w="9480"/>
          </w:cols>
          <w:pgMar w:left="1360" w:top="855" w:right="1066" w:bottom="310" w:gutter="0" w:footer="0" w:header="0"/>
        </w:sectPr>
      </w:pPr>
    </w:p>
    <w:bookmarkStart w:id="3" w:name="page4"/>
    <w:bookmarkEnd w:id="3"/>
    <w:p>
      <w:pPr>
        <w:jc w:val="both"/>
        <w:ind w:right="20" w:firstLine="568"/>
        <w:spacing w:after="0" w:line="235" w:lineRule="auto"/>
        <w:tabs>
          <w:tab w:leader="none" w:pos="852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Programların süreleri; varılmak istenen amaca uygun olarak, programın yeri, eğiticiler, kursiyerler, tahsis olunacak ödenek ve diğer programlarla ilişkisi gibi programı oluşturacak unsurların her biri dikkate alınarak tespit edilir.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firstLine="568"/>
        <w:spacing w:after="0" w:line="234" w:lineRule="auto"/>
        <w:tabs>
          <w:tab w:leader="none" w:pos="852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Eğitimin Üniversitede uygulanması es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as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tır. Gerektiğinde üniversite dışı fiziki olanaklarından da yararlanılabilir.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BEŞİNCİ BÖLÜM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Eğitime Katılma, Değerlendirme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ve Disiplin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İşlemleri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Eğitime Katılma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2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16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 (1)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Eğitime katılacak kursiyerlerin sayısı ve nitelikleri yıllık eğitim planında belirtilir.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Birim  amirleri,  tahsis  edilen  kontenjana  uygun  olar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ak  eğitime  katılacak  personeli  seçer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 ve  Personel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right="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Müdürlüğüne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bildirir. 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ğitime katılması kararlaştırılmış olan personel, eğitim faaliyetine katılmak zorunda olup, bağlı oldukları birimler bunu sağlamakla yükümlüdür.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firstLine="452"/>
        <w:spacing w:after="0" w:line="234" w:lineRule="auto"/>
        <w:tabs>
          <w:tab w:leader="none" w:pos="763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Kanuni mazeretleri olanlar dışında, eğitim faaliyetine katılmayanlar hakkında “disiplin” hükümler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uygulanı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6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a)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Kursiyerler eğitim süresince idari yönden program yöneticisine bağlıdır.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20" w:firstLine="451"/>
        <w:spacing w:after="0" w:line="235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b)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Üniversite dışında eğitim faaliyetine katılan personel, o kurum ve kuruluşun eğitimle ilgili mevzuat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hükmüne tabidir. Ancak disiplin ile ilgili hükümleri saklıdır.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451"/>
        <w:spacing w:after="0" w:line="237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c) 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ğitime katılanlar, eğitim konuları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itibariyle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gözlem ve değerlendirmelerini içeren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bir raporu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eğitimin tamamlanmasını izleyen beş iş günü içinde Personel Müdürlüğüne vermekle yükümlüdür.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Bu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raporlar incelendikten sonra bir örneği kursiyerin görev yaptığı birime, asıl rapor kursiyerin özlük dosyasına gönderilir.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Sınavlar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firstLine="451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17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Sınavlar, Program Yöneticisi ve Eğitme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den oluşan Sınav Komisyonu tarafından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yürütülür.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right="20" w:firstLine="349"/>
        <w:spacing w:after="0" w:line="250" w:lineRule="auto"/>
        <w:tabs>
          <w:tab w:leader="none" w:pos="708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Kursiyerlerin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başarısı, eğitimin niteliğine ve içeriğine göre eğitimin süresi içinde veya sonunda,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yazılı, sözlü veya uygulamalı olarak ayrı ayrı veya birlikte olmak üzere yapılacak sınavlarla değerlendirilir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00" w:hanging="351"/>
        <w:spacing w:after="0"/>
        <w:tabs>
          <w:tab w:leader="none" w:pos="70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Sınavın şekli, süresi, sorular ve cevap anahtarları eğitim programlarında belirtilir.</w:t>
      </w:r>
    </w:p>
    <w:p>
      <w:pPr>
        <w:spacing w:after="0" w:line="31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firstLine="349"/>
        <w:spacing w:after="0" w:line="274" w:lineRule="auto"/>
        <w:tabs>
          <w:tab w:leader="none" w:pos="708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Sınav Komisyonu tarafından sınavın başladığı saat, sınava girenlerin sayısı, teslim alınan kâğıt sayısı ve sınavın bitiş saatini gösteren bir tutanak düzenlenir.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ınav sonuç listesi bir tutanakla program yöneticisine</w:t>
      </w:r>
    </w:p>
    <w:p>
      <w:pPr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teslim edilir.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34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ç) Sınav sonuçları üç iş günü içinde kursiyerlere duyurulur. İtirazlar, duyuru tarihinden itibaren beş iş günü içinde gerekçeli bir dilekçe ile Genel Sekreterliğe iletilir.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onuç en geç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gün içinde ilgililere yazı ile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bildirilir.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349"/>
        <w:spacing w:after="0" w:line="236" w:lineRule="auto"/>
        <w:tabs>
          <w:tab w:leader="none" w:pos="708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Sınav evrakı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Personel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Müdürlüğü tarafından arşivlenir. Sorular, cevap anahtarı ve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cevap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kâğıtları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bir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yıl, tutanaklar, değerlendirme fişleri ve diğer evrak iki yıl süreyle saklanır. Saklama süresi dolan sınav evrakı “Devlet Arşiv Hizmetleri Hakkında Yönetmelik” hükümlerine göre imh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 edilir.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Değerlendirme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firstLine="451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18 -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Sınavlarda değerlendirme 100 tam puan üzerinden yapılır. Buçuklu puanlar tam puana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yuvarlanır. Her sınav için başarı notu 70, üstün başarı notu 90 puandır. Sınavlarda 0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69 puan aralığı o eğitim programı içi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 yetersizlik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olarak kabul edilir. Bu durumda kursiyer, aynı nitelikte açılacak olan ilk eğitim programına yeniden katılır.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52"/>
        <w:spacing w:after="0" w:line="237" w:lineRule="auto"/>
        <w:tabs>
          <w:tab w:leader="none" w:pos="775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Başarılı olanlara Personel Müdürlüğü tarafından, Basın, Yayın ve Halkla İlişkiler Müdürlüğü’nün hazırlamış olduğu “Türk Hava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Kurumu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Üniversitesi Hizmet İçi Eğitim Programına Katılım Belgesi”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verilir.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Bu belgede, eğitimin konusu, tarihi, süresi ve başarı derecesi gösterilir. Belgenin bir örneği ilgilinin özlük dosyasına konulur.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right="20" w:firstLine="452"/>
        <w:spacing w:after="0" w:line="236" w:lineRule="auto"/>
        <w:tabs>
          <w:tab w:leader="none" w:pos="83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Eğiticinin ve eğitim programının değerlendirilmesini sağlamak üzere, eğitim sırasında veya sonunda, eğitim faaliyetine katılanlar ile görev alanların görüş ve düşüncelerini tespit etmek amacıyla anketler düzenlenebilir.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Mütevelli Heyet K.T./No: 03.12.2019/10</w:t>
      </w:r>
    </w:p>
    <w:p>
      <w:pPr>
        <w:sectPr>
          <w:pgSz w:w="11900" w:h="16838" w:orient="portrait"/>
          <w:cols w:equalWidth="0" w:num="1">
            <w:col w:w="9480"/>
          </w:cols>
          <w:pgMar w:left="1360" w:top="855" w:right="1066" w:bottom="310" w:gutter="0" w:footer="0" w:header="0"/>
        </w:sectPr>
      </w:pPr>
    </w:p>
    <w:bookmarkStart w:id="4" w:name="page5"/>
    <w:bookmarkEnd w:id="4"/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Disiplin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firstLine="451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19 -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faaliyetine katılması kararlaştırılan kursiyer, İş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Kanununda belirtilen mazeret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izinleri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dışında eğitim faaliyetini düzenli bir şekilde izlemekle yükümlüdür.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52"/>
        <w:spacing w:after="0" w:line="236" w:lineRule="auto"/>
        <w:tabs>
          <w:tab w:leader="none" w:pos="789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Bu konuda ihmali görülen veya eğitim faaliyetinin düzenli bir şekilde yürütülmesini enge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lleyici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davranışlarda bulunanlarla, sınavlarda kopya çek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en v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eya sınav disiplinini bozanlar hakkında disiplin hükümleri uygulanır.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firstLine="452"/>
        <w:spacing w:after="0" w:line="235" w:lineRule="auto"/>
        <w:tabs>
          <w:tab w:leader="none" w:pos="784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Eğitim sonunda sınavlardan herhangi birine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izinsiz ve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mazeretsiz olarak katılmayanlar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ile kopya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çekenler başarısız sayılır.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right"/>
        <w:ind w:right="3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ALTINCI BÖLÜM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ind w:right="3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Çeşitli Hükümler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Yöneticilerinin Sorumluluğu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firstLine="451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20-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Yöneticiler; amiri oldukları hizmet birimi çalışanlarının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görevlerini zamanında ve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eksiksiz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olarak yapmalarını sağlayacak şekilde özenle yetiştirmekten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sorumludur.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Eğitim Giderleri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firstLine="451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21-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Eğiticilere eğitime katıldıkları süreler dikkate alınarak Rektörlük Makamının onayı ile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ödeme yapılır.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right="20" w:firstLine="452"/>
        <w:spacing w:after="0" w:line="250" w:lineRule="auto"/>
        <w:tabs>
          <w:tab w:leader="none" w:pos="775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Eğitim, Eğitim kurulunun önerisi ve Rektörlük makamının onayı ile hizmet satın alma yoluyla da sağlanabilir.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Hüküm Bulunmayan Haller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22 -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Türk Hava Kurumu Ana Yönetmeliği hükümleri uygulanır.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Yürürlük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right="20" w:firstLine="451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23 -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Bu Yönerge, Üniversite Senatosu’nun kabulü ve Mütevelli Heyet onayından sonra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yürürlüğe girer.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Yürütme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24 -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Bu Yöne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rge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hükümlerini Türk Hava kurumu Üniversitesi Rektörü yürütür.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Ek-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1) Hizmet İç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 xml:space="preserve">i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Eğitimin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 xml:space="preserve"> Hedefleri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820" w:right="20" w:hanging="368"/>
        <w:spacing w:after="0" w:line="234" w:lineRule="auto"/>
        <w:tabs>
          <w:tab w:leader="none" w:pos="82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Göreve yeni başlayan personelin; üniversiteye uyum sağlamasını temin etmek üzere görev, yetki ve sorumlulukları ile alanındaki yeni gelişmeler hakkında bilgilendirmek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820" w:hanging="368"/>
        <w:spacing w:after="0"/>
        <w:tabs>
          <w:tab w:leader="none" w:pos="82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Personelin; alan bilgisini ve verimliliğini arttırmak suretiyle üst görevlere hazırlamak,</w:t>
      </w:r>
    </w:p>
    <w:p>
      <w:pPr>
        <w:ind w:left="820" w:hanging="368"/>
        <w:spacing w:after="0"/>
        <w:tabs>
          <w:tab w:leader="none" w:pos="82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İdari iş ve işleyişte; kaliteli hizmet, hizmette verimlilik, etkinlik ve sürekliliği sağlamak,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820" w:hanging="368"/>
        <w:spacing w:after="0" w:line="235" w:lineRule="auto"/>
        <w:tabs>
          <w:tab w:leader="none" w:pos="82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Üniversitenin ihtiyaçları doğrultusunda; araştıran, sorgulayan, katılımcı, çözüm odaklı, alanında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yetkin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personel yetiştirmek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,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820" w:right="20" w:hanging="368"/>
        <w:spacing w:after="0" w:line="250" w:lineRule="auto"/>
        <w:tabs>
          <w:tab w:leader="none" w:pos="82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Çalışanlar arasında güçlü iletişimi sağlamak, çalışanların motivasyonunu artırmak, karşılıklı güven ve iş birliği içinde uygar bir çalışma kültürü oluşturmak.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Ek-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2) Hizmet İç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 xml:space="preserve">i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Eğitimin İlkeleri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640" w:hanging="356"/>
        <w:spacing w:after="0"/>
        <w:tabs>
          <w:tab w:leader="none" w:pos="64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Eğitimi; verimlilik, süreklilik, etkinlik ve tutumluluk anlayışı ile yürütmek,</w:t>
      </w:r>
    </w:p>
    <w:p>
      <w:pPr>
        <w:ind w:left="640" w:hanging="356"/>
        <w:spacing w:after="0"/>
        <w:tabs>
          <w:tab w:leader="none" w:pos="64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 ortamını, eğitim süresi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ve içeriği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eğitimin gereklerine uygun olarak düzenlemek,</w:t>
      </w:r>
    </w:p>
    <w:p>
      <w:pPr>
        <w:ind w:left="640" w:hanging="356"/>
        <w:spacing w:after="0"/>
        <w:tabs>
          <w:tab w:leader="none" w:pos="64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Tüm personelinin, belirlenen hizmet içi eğitim ihtiyacına göre katılımını sağlamak,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640" w:right="20" w:hanging="356"/>
        <w:spacing w:after="0" w:line="235" w:lineRule="auto"/>
        <w:tabs>
          <w:tab w:leader="none" w:pos="64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Yıllık eğitim planını; Üniversitenin Stratejik Planında gösterilen amaç ve hedeflere göre belirlenen ihtiyaçlar doğrultusunda hazırlamak ve uygulamak,</w:t>
      </w:r>
    </w:p>
    <w:p>
      <w:pPr>
        <w:ind w:left="640" w:hanging="356"/>
        <w:spacing w:after="0"/>
        <w:tabs>
          <w:tab w:leader="none" w:pos="64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Birim amirlerinin, mahiyetinde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görev yapan çalışanları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alanında uzmanlaşmasını sağlamak,</w:t>
      </w:r>
    </w:p>
    <w:p>
      <w:pPr>
        <w:ind w:left="640" w:hanging="356"/>
        <w:spacing w:after="0"/>
        <w:tabs>
          <w:tab w:leader="none" w:pos="64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İlgili kuruluşlarla eğitimde işbirliği yapmak,</w:t>
      </w:r>
    </w:p>
    <w:p>
      <w:pPr>
        <w:ind w:left="640" w:hanging="356"/>
        <w:spacing w:after="0"/>
        <w:tabs>
          <w:tab w:leader="none" w:pos="64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Hizmet içi eğitim faaliyetlerini, Üniversitenin asıl görevlerini aksatmadan sürdürmek,</w:t>
      </w:r>
    </w:p>
    <w:p>
      <w:pPr>
        <w:ind w:left="640" w:hanging="356"/>
        <w:spacing w:after="0"/>
        <w:tabs>
          <w:tab w:leader="none" w:pos="64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Eğitimle kazanılan nitelikleri ölçmek ve değerlendirmek.</w:t>
      </w: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Mütevelli Heyet K.T./No: 03.12.2019/10</w:t>
      </w:r>
    </w:p>
    <w:sectPr>
      <w:pgSz w:w="11900" w:h="16838" w:orient="portrait"/>
      <w:cols w:equalWidth="0" w:num="1">
        <w:col w:w="9480"/>
      </w:cols>
      <w:pgMar w:left="1360" w:top="849" w:right="1066" w:bottom="31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352255A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109CF92E"/>
    <w:multiLevelType w:val="hybridMultilevel"/>
    <w:lvl w:ilvl="0">
      <w:lvlJc w:val="left"/>
      <w:lvlText w:val="%1)"/>
      <w:numFmt w:val="lowerLetter"/>
      <w:start w:val="4"/>
    </w:lvl>
  </w:abstractNum>
  <w:abstractNum w:abstractNumId="2">
    <w:nsid w:val="DED7263"/>
    <w:multiLevelType w:val="hybridMultilevel"/>
    <w:lvl w:ilvl="0">
      <w:lvlJc w:val="left"/>
      <w:lvlText w:val="(%1)"/>
      <w:numFmt w:val="decimal"/>
      <w:start w:val="2"/>
    </w:lvl>
  </w:abstractNum>
  <w:abstractNum w:abstractNumId="3">
    <w:nsid w:val="7FDCC233"/>
    <w:multiLevelType w:val="hybridMultilevel"/>
    <w:lvl w:ilvl="0">
      <w:lvlJc w:val="left"/>
      <w:lvlText w:val="%1)"/>
      <w:numFmt w:val="lowerLetter"/>
      <w:start w:val="1"/>
    </w:lvl>
  </w:abstractNum>
  <w:abstractNum w:abstractNumId="4">
    <w:nsid w:val="1BEFD79F"/>
    <w:multiLevelType w:val="hybridMultilevel"/>
    <w:lvl w:ilvl="0">
      <w:lvlJc w:val="left"/>
      <w:lvlText w:val="%1)"/>
      <w:numFmt w:val="lowerLetter"/>
      <w:start w:val="4"/>
    </w:lvl>
  </w:abstractNum>
  <w:abstractNum w:abstractNumId="5">
    <w:nsid w:val="41A7C4C9"/>
    <w:multiLevelType w:val="hybridMultilevel"/>
    <w:lvl w:ilvl="0">
      <w:lvlJc w:val="left"/>
      <w:lvlText w:val="%1)"/>
      <w:numFmt w:val="lowerLetter"/>
      <w:start w:val="1"/>
    </w:lvl>
  </w:abstractNum>
  <w:abstractNum w:abstractNumId="6">
    <w:nsid w:val="6B68079A"/>
    <w:multiLevelType w:val="hybridMultilevel"/>
    <w:lvl w:ilvl="0">
      <w:lvlJc w:val="left"/>
      <w:lvlText w:val="%1)"/>
      <w:numFmt w:val="lowerLetter"/>
      <w:start w:val="4"/>
    </w:lvl>
  </w:abstractNum>
  <w:abstractNum w:abstractNumId="7">
    <w:nsid w:val="4E6AFB66"/>
    <w:multiLevelType w:val="hybridMultilevel"/>
    <w:lvl w:ilvl="0">
      <w:lvlJc w:val="left"/>
      <w:lvlText w:val="%1)"/>
      <w:numFmt w:val="lowerLetter"/>
      <w:start w:val="8"/>
    </w:lvl>
  </w:abstractNum>
  <w:abstractNum w:abstractNumId="8">
    <w:nsid w:val="25E45D32"/>
    <w:multiLevelType w:val="hybridMultilevel"/>
    <w:lvl w:ilvl="0">
      <w:lvlJc w:val="left"/>
      <w:lvlText w:val="%1)"/>
      <w:numFmt w:val="lowerLetter"/>
      <w:start w:val="1"/>
    </w:lvl>
  </w:abstractNum>
  <w:abstractNum w:abstractNumId="9">
    <w:nsid w:val="519B500D"/>
    <w:multiLevelType w:val="hybridMultilevel"/>
    <w:lvl w:ilvl="0">
      <w:lvlJc w:val="left"/>
      <w:lvlText w:val="%1)"/>
      <w:numFmt w:val="lowerLetter"/>
      <w:start w:val="1"/>
    </w:lvl>
  </w:abstractNum>
  <w:abstractNum w:abstractNumId="10">
    <w:nsid w:val="431BD7B7"/>
    <w:multiLevelType w:val="hybridMultilevel"/>
    <w:lvl w:ilvl="0">
      <w:lvlJc w:val="left"/>
      <w:lvlText w:val="%1)"/>
      <w:numFmt w:val="lowerLetter"/>
      <w:start w:val="1"/>
    </w:lvl>
  </w:abstractNum>
  <w:abstractNum w:abstractNumId="11">
    <w:nsid w:val="3F2DBA31"/>
    <w:multiLevelType w:val="hybridMultilevel"/>
    <w:lvl w:ilvl="0">
      <w:lvlJc w:val="left"/>
      <w:lvlText w:val="%1)"/>
      <w:numFmt w:val="lowerLetter"/>
      <w:start w:val="3"/>
    </w:lvl>
  </w:abstractNum>
  <w:abstractNum w:abstractNumId="12">
    <w:nsid w:val="7C83E458"/>
    <w:multiLevelType w:val="hybridMultilevel"/>
    <w:lvl w:ilvl="0">
      <w:lvlJc w:val="left"/>
      <w:lvlText w:val="%1)"/>
      <w:numFmt w:val="lowerLetter"/>
      <w:start w:val="1"/>
    </w:lvl>
  </w:abstractNum>
  <w:abstractNum w:abstractNumId="13">
    <w:nsid w:val="257130A3"/>
    <w:multiLevelType w:val="hybridMultilevel"/>
    <w:lvl w:ilvl="0">
      <w:lvlJc w:val="left"/>
      <w:lvlText w:val="%1)"/>
      <w:numFmt w:val="lowerLetter"/>
      <w:start w:val="4"/>
    </w:lvl>
  </w:abstractNum>
  <w:abstractNum w:abstractNumId="14">
    <w:nsid w:val="62BBD95A"/>
    <w:multiLevelType w:val="hybridMultilevel"/>
    <w:lvl w:ilvl="0">
      <w:lvlJc w:val="left"/>
      <w:lvlText w:val="%1)"/>
      <w:numFmt w:val="lowerLetter"/>
      <w:start w:val="1"/>
    </w:lvl>
  </w:abstractNum>
  <w:abstractNum w:abstractNumId="15">
    <w:nsid w:val="436C6125"/>
    <w:multiLevelType w:val="hybridMultilevel"/>
    <w:lvl w:ilvl="0">
      <w:lvlJc w:val="left"/>
      <w:lvlText w:val="%1)"/>
      <w:numFmt w:val="lowerLetter"/>
      <w:start w:val="1"/>
    </w:lvl>
  </w:abstractNum>
  <w:abstractNum w:abstractNumId="16">
    <w:nsid w:val="628C895D"/>
    <w:multiLevelType w:val="hybridMultilevel"/>
    <w:lvl w:ilvl="0">
      <w:lvlJc w:val="left"/>
      <w:lvlText w:val="%1)"/>
      <w:numFmt w:val="lowerLetter"/>
      <w:start w:val="2"/>
    </w:lvl>
  </w:abstractNum>
  <w:abstractNum w:abstractNumId="17">
    <w:nsid w:val="333AB105"/>
    <w:multiLevelType w:val="hybridMultilevel"/>
    <w:lvl w:ilvl="0">
      <w:lvlJc w:val="left"/>
      <w:lvlText w:val="(%1)"/>
      <w:numFmt w:val="decimal"/>
      <w:start w:val="2"/>
    </w:lvl>
  </w:abstractNum>
  <w:abstractNum w:abstractNumId="18">
    <w:nsid w:val="721DA317"/>
    <w:multiLevelType w:val="hybridMultilevel"/>
    <w:lvl w:ilvl="0">
      <w:lvlJc w:val="left"/>
      <w:lvlText w:val="%1)"/>
      <w:numFmt w:val="lowerLetter"/>
      <w:start w:val="1"/>
    </w:lvl>
  </w:abstractNum>
  <w:abstractNum w:abstractNumId="19">
    <w:nsid w:val="2443A858"/>
    <w:multiLevelType w:val="hybridMultilevel"/>
    <w:lvl w:ilvl="0">
      <w:lvlJc w:val="left"/>
      <w:lvlText w:val="%1)"/>
      <w:numFmt w:val="lowerLetter"/>
      <w:start w:val="4"/>
    </w:lvl>
  </w:abstractNum>
  <w:abstractNum w:abstractNumId="20">
    <w:nsid w:val="2D1D5AE9"/>
    <w:multiLevelType w:val="hybridMultilevel"/>
    <w:lvl w:ilvl="0">
      <w:lvlJc w:val="left"/>
      <w:lvlText w:val="(%1)"/>
      <w:numFmt w:val="decimal"/>
      <w:start w:val="2"/>
    </w:lvl>
  </w:abstractNum>
  <w:abstractNum w:abstractNumId="21">
    <w:nsid w:val="6763845E"/>
    <w:multiLevelType w:val="hybridMultilevel"/>
    <w:lvl w:ilvl="0">
      <w:lvlJc w:val="left"/>
      <w:lvlText w:val="(%1)"/>
      <w:numFmt w:val="decimal"/>
      <w:start w:val="2"/>
    </w:lvl>
  </w:abstractNum>
  <w:abstractNum w:abstractNumId="22">
    <w:nsid w:val="75A2A8D4"/>
    <w:multiLevelType w:val="hybridMultilevel"/>
    <w:lvl w:ilvl="0">
      <w:lvlJc w:val="left"/>
      <w:lvlText w:val="(%1)"/>
      <w:numFmt w:val="decimal"/>
      <w:start w:val="2"/>
    </w:lvl>
  </w:abstractNum>
  <w:abstractNum w:abstractNumId="23">
    <w:nsid w:val="8EDBDAB"/>
    <w:multiLevelType w:val="hybridMultilevel"/>
    <w:lvl w:ilvl="0">
      <w:lvlJc w:val="left"/>
      <w:lvlText w:val="%1)"/>
      <w:numFmt w:val="lowerLetter"/>
      <w:start w:val="1"/>
    </w:lvl>
  </w:abstractNum>
  <w:abstractNum w:abstractNumId="24">
    <w:nsid w:val="79838CB2"/>
    <w:multiLevelType w:val="hybridMultilevel"/>
    <w:lvl w:ilvl="0">
      <w:lvlJc w:val="left"/>
      <w:lvlText w:val="%1)"/>
      <w:numFmt w:val="low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2020-12-14T12:26:10Z</dcterms:created>
  <dcterms:modified xsi:type="dcterms:W3CDTF">2020-12-14T12:26:10Z</dcterms:modified>
</cp:coreProperties>
</file>