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KÜTÜPHANE VE DOKÜMANTASYON MÜDÜRLÜĞÜ YÖNERGESİ</w:t>
      </w:r>
    </w:p>
    <w:p>
      <w:pPr>
        <w:spacing w:after="0" w:line="2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1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ind w:firstLine="708"/>
        <w:spacing w:after="0" w:line="241" w:lineRule="auto"/>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Bu yönerge Türk Hava Kurumu Üniversitesi Kütüphane ve Dokümantasyon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Müdürlüğü’nün örgütlenme, yönetim ve çalışma esaslarını belirlemek amacıyla düzenlenmiştir.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Tanımlar</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Bu Yönergede geçen;</w:t>
      </w:r>
    </w:p>
    <w:p>
      <w:pPr>
        <w:ind w:left="1120" w:hanging="417"/>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Türk Hava Kurumu Üniversitesi’ni,</w:t>
      </w:r>
    </w:p>
    <w:p>
      <w:pPr>
        <w:ind w:left="1120" w:hanging="417"/>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Rektör: Türk Hava Kurumu Üniversitesi Rektörü’nü,</w:t>
      </w:r>
    </w:p>
    <w:p>
      <w:pPr>
        <w:ind w:left="1120" w:hanging="417"/>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ve Dokümantasyon Müdürü: Türk Hava Kurumu Üniversitesi Kütüphane ve Dokümantasyon Müdürü’nü,</w:t>
      </w:r>
    </w:p>
    <w:p>
      <w:pPr>
        <w:ind w:left="1120" w:hanging="417"/>
        <w:spacing w:after="0" w:line="239" w:lineRule="auto"/>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Türk Hava Kurumu Üniversitesi Rektörlüğü bünyesinde yer alan ve kütüphane hizmetlerinin örgütlenip yürütüldüğü kütüphaneyi,</w:t>
      </w:r>
    </w:p>
    <w:p>
      <w:pPr>
        <w:spacing w:after="0" w:line="1" w:lineRule="exact"/>
        <w:rPr>
          <w:rFonts w:ascii="Times New Roman" w:cs="Times New Roman" w:eastAsia="Times New Roman" w:hAnsi="Times New Roman"/>
          <w:sz w:val="24"/>
          <w:szCs w:val="24"/>
          <w:color w:val="auto"/>
        </w:rPr>
      </w:pPr>
    </w:p>
    <w:p>
      <w:pPr>
        <w:ind w:left="1120" w:hanging="417"/>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Materyal: Kitap, süreli yayın, tez, mikro-film, görsel-işitsel araçlar (video kaset, CD, DVD, ses kaseti v.b), elektronik bilgi kaynakları gibi her türlü bilgi kaynağını,</w:t>
      </w:r>
    </w:p>
    <w:p>
      <w:pPr>
        <w:ind w:left="1120" w:hanging="417"/>
        <w:spacing w:after="0"/>
        <w:tabs>
          <w:tab w:leader="none" w:pos="11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Okuyucu/kullanıcı: Kütüphaneye gelen ve buradaki bilgi kaynaklarından yararlanan okuyucu/kullanıcıları</w:t>
      </w:r>
    </w:p>
    <w:p>
      <w:pPr>
        <w:spacing w:after="0"/>
        <w:rPr>
          <w:sz w:val="20"/>
          <w:szCs w:val="20"/>
          <w:color w:val="auto"/>
        </w:rPr>
      </w:pPr>
      <w:r>
        <w:rPr>
          <w:rFonts w:ascii="Times New Roman" w:cs="Times New Roman" w:eastAsia="Times New Roman" w:hAnsi="Times New Roman"/>
          <w:sz w:val="24"/>
          <w:szCs w:val="24"/>
          <w:color w:val="auto"/>
        </w:rPr>
        <w:t>ifade eder.</w:t>
      </w: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spacing w:after="0"/>
        <w:rPr>
          <w:sz w:val="20"/>
          <w:szCs w:val="20"/>
          <w:color w:val="auto"/>
        </w:rPr>
      </w:pPr>
      <w:r>
        <w:rPr>
          <w:rFonts w:ascii="Times New Roman" w:cs="Times New Roman" w:eastAsia="Times New Roman" w:hAnsi="Times New Roman"/>
          <w:sz w:val="24"/>
          <w:szCs w:val="24"/>
          <w:b w:val="1"/>
          <w:bCs w:val="1"/>
          <w:color w:val="auto"/>
        </w:rPr>
        <w:t>Kuruluş, Örgütlenme ve Yönetim</w:t>
      </w:r>
    </w:p>
    <w:p>
      <w:pPr>
        <w:ind w:left="700"/>
        <w:spacing w:after="0" w:line="237" w:lineRule="auto"/>
        <w:rPr>
          <w:sz w:val="20"/>
          <w:szCs w:val="20"/>
          <w:color w:val="auto"/>
        </w:rPr>
      </w:pPr>
      <w:r>
        <w:rPr>
          <w:rFonts w:ascii="Times New Roman" w:cs="Times New Roman" w:eastAsia="Times New Roman" w:hAnsi="Times New Roman"/>
          <w:sz w:val="24"/>
          <w:szCs w:val="24"/>
          <w:b w:val="1"/>
          <w:bCs w:val="1"/>
          <w:color w:val="auto"/>
        </w:rPr>
        <w:t>Kuruluş</w:t>
      </w:r>
    </w:p>
    <w:p>
      <w:pPr>
        <w:spacing w:after="0" w:line="1" w:lineRule="exact"/>
        <w:rPr>
          <w:sz w:val="24"/>
          <w:szCs w:val="24"/>
          <w:color w:val="auto"/>
        </w:rPr>
      </w:pP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Kütüphane ve Dokümantasyon Müdürlüğü, bilimsel çalışma, eğitim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araştırmalarda yararlanmak üzere gerekli bilgi kaynaklarından koleksiyonunu oluşturmak, bu bilgi kaynaklarını ihtiyaç sahiplerinin kullanımına hazır hale getirmek ve bilgi ihtiyaçlarını karşılamak, ayrılmaz parçası bulunduğu öğretim kadrosunun amaçlarının gerçekleşmesine dinamik bir şekilde katılmak ve çağın gereksinimlerine uygun gelişmeleri ve araştırmaları takip etmek amacı ile kurulmuştur.</w:t>
      </w:r>
    </w:p>
    <w:p>
      <w:pPr>
        <w:ind w:left="700"/>
        <w:spacing w:after="0"/>
        <w:rPr>
          <w:sz w:val="20"/>
          <w:szCs w:val="20"/>
          <w:color w:val="auto"/>
        </w:rPr>
      </w:pPr>
      <w:r>
        <w:rPr>
          <w:rFonts w:ascii="Times New Roman" w:cs="Times New Roman" w:eastAsia="Times New Roman" w:hAnsi="Times New Roman"/>
          <w:sz w:val="24"/>
          <w:szCs w:val="24"/>
          <w:b w:val="1"/>
          <w:bCs w:val="1"/>
          <w:color w:val="auto"/>
        </w:rPr>
        <w:t>Kuruluş Şekli</w:t>
      </w: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Üniversitedeki kütüphane hizmetlerinin, Merkez Kütüphane çevresi içinde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örgütlenmesi ve yürütülmesi esastır.</w:t>
      </w:r>
    </w:p>
    <w:p>
      <w:pPr>
        <w:jc w:val="both"/>
        <w:ind w:firstLine="708"/>
        <w:spacing w:after="0" w:line="241" w:lineRule="auto"/>
        <w:rPr>
          <w:sz w:val="20"/>
          <w:szCs w:val="20"/>
          <w:color w:val="auto"/>
        </w:rPr>
      </w:pPr>
      <w:r>
        <w:rPr>
          <w:rFonts w:ascii="Times New Roman" w:cs="Times New Roman" w:eastAsia="Times New Roman" w:hAnsi="Times New Roman"/>
          <w:sz w:val="24"/>
          <w:szCs w:val="24"/>
          <w:color w:val="auto"/>
        </w:rPr>
        <w:t>Merkez Kütüphaneye bağlı olmak ve teknik hizmetleri Merkez Kütüphane tarafından yürütülmek şartıyla, ana yerleşim alanı dışındaki diğer birimlerde birim kütüphaneleri kurulabilir.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Örgütlenme ve Yönetim</w:t>
      </w:r>
    </w:p>
    <w:p>
      <w:pPr>
        <w:jc w:val="both"/>
        <w:ind w:firstLine="709"/>
        <w:spacing w:after="0"/>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Kütüphanenin koordinasyonu, yönetimi ve sağlayacağı hizmetler aşağıdaki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organlarca yürütülür;</w:t>
      </w:r>
    </w:p>
    <w:p>
      <w:pPr>
        <w:ind w:left="1180" w:hanging="477"/>
        <w:spacing w:after="0"/>
        <w:tabs>
          <w:tab w:leader="none" w:pos="11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Danışma Kurulu</w:t>
      </w:r>
    </w:p>
    <w:p>
      <w:pPr>
        <w:ind w:left="1180" w:hanging="477"/>
        <w:spacing w:after="0"/>
        <w:tabs>
          <w:tab w:leader="none" w:pos="11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ve Dokümantasyon Müdürlüğü</w:t>
      </w:r>
    </w:p>
    <w:p>
      <w:pPr>
        <w:ind w:left="1180" w:hanging="477"/>
        <w:spacing w:after="0"/>
        <w:tabs>
          <w:tab w:leader="none" w:pos="11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hizmet birim ve altbirimleri.</w:t>
      </w:r>
    </w:p>
    <w:p>
      <w:pPr>
        <w:spacing w:after="0" w:line="2" w:lineRule="exact"/>
        <w:rPr>
          <w:rFonts w:ascii="Times New Roman" w:cs="Times New Roman" w:eastAsia="Times New Roman" w:hAnsi="Times New Roman"/>
          <w:sz w:val="24"/>
          <w:szCs w:val="24"/>
          <w:color w:val="auto"/>
        </w:rPr>
      </w:pPr>
    </w:p>
    <w:p>
      <w:pPr>
        <w:ind w:left="7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Kütüphane Danışma Kurulu</w:t>
      </w:r>
    </w:p>
    <w:p>
      <w:pPr>
        <w:spacing w:after="0" w:line="1"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6 – </w:t>
      </w:r>
      <w:r>
        <w:rPr>
          <w:rFonts w:ascii="Times New Roman" w:cs="Times New Roman" w:eastAsia="Times New Roman" w:hAnsi="Times New Roman"/>
          <w:sz w:val="24"/>
          <w:szCs w:val="24"/>
          <w:color w:val="auto"/>
        </w:rPr>
        <w:t>Kütüphane koleksiyonunun eğitim-öğretim ve araştırma faaliyetlerine uygun</w:t>
      </w:r>
    </w:p>
    <w:p>
      <w:pPr>
        <w:jc w:val="both"/>
        <w:spacing w:after="0" w:line="250" w:lineRule="auto"/>
        <w:rPr>
          <w:sz w:val="20"/>
          <w:szCs w:val="20"/>
          <w:color w:val="auto"/>
        </w:rPr>
      </w:pPr>
      <w:r>
        <w:rPr>
          <w:rFonts w:ascii="Times New Roman" w:cs="Times New Roman" w:eastAsia="Times New Roman" w:hAnsi="Times New Roman"/>
          <w:sz w:val="23"/>
          <w:szCs w:val="23"/>
          <w:color w:val="auto"/>
        </w:rPr>
        <w:t>şekilde geliştirilmesi, kullanıcıların hizmet ve olanaklardan en etkin şekilde yararlanabilmesi ayrıca Kütüphane ile kullanıcılar arasındaki iletişimin sağlanması ve yürütülmesi amacıyla oluşturulmuştur.</w:t>
      </w:r>
    </w:p>
    <w:p>
      <w:pPr>
        <w:spacing w:after="0" w:line="1"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color w:val="auto"/>
        </w:rPr>
        <w:t>Kütüphane Danışma Kurulu;</w:t>
      </w:r>
    </w:p>
    <w:p>
      <w:pPr>
        <w:jc w:val="both"/>
        <w:ind w:firstLine="708"/>
        <w:spacing w:after="0"/>
        <w:rPr>
          <w:sz w:val="20"/>
          <w:szCs w:val="20"/>
          <w:color w:val="auto"/>
        </w:rPr>
      </w:pPr>
      <w:r>
        <w:rPr>
          <w:rFonts w:ascii="Times New Roman" w:cs="Times New Roman" w:eastAsia="Times New Roman" w:hAnsi="Times New Roman"/>
          <w:sz w:val="24"/>
          <w:szCs w:val="24"/>
          <w:color w:val="auto"/>
        </w:rPr>
        <w:t>Kütüphaneden sorumlu Rektör Yardımcısının Başkanlığında, Kütüphane Müdürü, Fakülteler, MYO, Hazırlık Okulu Müdürlüğünden birer öğretim üyesi/elemanı ve Öğrenci Konseyinden seçilen bir temsilciden oluşur.</w:t>
      </w:r>
    </w:p>
    <w:p>
      <w:pPr>
        <w:ind w:left="700"/>
        <w:spacing w:after="0"/>
        <w:rPr>
          <w:sz w:val="20"/>
          <w:szCs w:val="20"/>
          <w:color w:val="auto"/>
        </w:rPr>
      </w:pPr>
      <w:r>
        <w:rPr>
          <w:rFonts w:ascii="Times New Roman" w:cs="Times New Roman" w:eastAsia="Times New Roman" w:hAnsi="Times New Roman"/>
          <w:sz w:val="24"/>
          <w:szCs w:val="24"/>
          <w:color w:val="auto"/>
        </w:rPr>
        <w:t>Danışma Kurulu eğitim dönemlerinin başında yılda bir kez toplanır.</w:t>
      </w:r>
    </w:p>
    <w:p>
      <w:pPr>
        <w:ind w:left="700"/>
        <w:spacing w:after="0"/>
        <w:rPr>
          <w:sz w:val="20"/>
          <w:szCs w:val="20"/>
          <w:color w:val="auto"/>
        </w:rPr>
      </w:pPr>
      <w:r>
        <w:rPr>
          <w:rFonts w:ascii="Times New Roman" w:cs="Times New Roman" w:eastAsia="Times New Roman" w:hAnsi="Times New Roman"/>
          <w:sz w:val="24"/>
          <w:szCs w:val="24"/>
          <w:color w:val="auto"/>
        </w:rPr>
        <w:t>Kütüphane Danışma Kurulu;</w:t>
      </w:r>
    </w:p>
    <w:p>
      <w:pPr>
        <w:spacing w:after="0" w:line="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1</w:t>
      </w:r>
    </w:p>
    <w:p>
      <w:pPr>
        <w:spacing w:after="0" w:line="2" w:lineRule="exact"/>
        <w:rPr>
          <w:sz w:val="24"/>
          <w:szCs w:val="24"/>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1" w:name="page2"/>
    <w:bookmarkEnd w:id="1"/>
    <w:p>
      <w:pPr>
        <w:spacing w:after="0" w:line="70" w:lineRule="exact"/>
        <w:rPr>
          <w:sz w:val="20"/>
          <w:szCs w:val="20"/>
          <w:color w:val="auto"/>
        </w:rPr>
      </w:pPr>
    </w:p>
    <w:p>
      <w:pPr>
        <w:ind w:left="1120" w:hanging="417"/>
        <w:spacing w:after="0" w:line="243" w:lineRule="auto"/>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Koleksiyonlarının (basılı ve elektronik) geliştirilmesi, güncel tutulması ve satın alınarak ya da bağış yolu ile gelen materyaller ile ilgili politika belirlenmesi,</w:t>
      </w:r>
    </w:p>
    <w:p>
      <w:pPr>
        <w:spacing w:after="0" w:line="1" w:lineRule="exact"/>
        <w:rPr>
          <w:rFonts w:ascii="Times New Roman" w:cs="Times New Roman" w:eastAsia="Times New Roman" w:hAnsi="Times New Roman"/>
          <w:sz w:val="24"/>
          <w:szCs w:val="24"/>
          <w:color w:val="auto"/>
        </w:rPr>
      </w:pPr>
    </w:p>
    <w:p>
      <w:pPr>
        <w:ind w:left="1120" w:hanging="417"/>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hizmetlerinin geliştirilmesi ve kullanıcılara duyurulması,</w:t>
      </w:r>
    </w:p>
    <w:p>
      <w:pPr>
        <w:jc w:val="both"/>
        <w:ind w:left="1120" w:hanging="417"/>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Kütüphanede uygulanan kuralların ( Materyallerin kullanım süreleri, kullanıcıların ödünç hak sayıları ve süreleri, kural ihlallerinin önlenmesi konusunda konulacak cezai yaptırımların gecikme/kayıp cezaları v.b. belirlenmesi ) düzenlenmesi,</w:t>
      </w:r>
    </w:p>
    <w:p>
      <w:pPr>
        <w:ind w:left="1120" w:hanging="417"/>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Kullanıcıların ihtiyaçları ile kütüphaneye yönelik istek ve şikâyetlerinin tespit edilerek kütüphaneye iletilmesi,</w:t>
      </w:r>
    </w:p>
    <w:p>
      <w:pPr>
        <w:ind w:left="1120" w:hanging="417"/>
        <w:spacing w:after="0"/>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Kullanıcı memnuniyetinin ölçülmesi, kütüphanenin çağdaş standartlara uygunluğu v.b. konularda tavsiye kararı alır.</w:t>
      </w:r>
    </w:p>
    <w:p>
      <w:pPr>
        <w:ind w:left="700"/>
        <w:spacing w:after="0"/>
        <w:rPr>
          <w:sz w:val="20"/>
          <w:szCs w:val="20"/>
          <w:color w:val="auto"/>
        </w:rPr>
      </w:pPr>
      <w:r>
        <w:rPr>
          <w:rFonts w:ascii="Times New Roman" w:cs="Times New Roman" w:eastAsia="Times New Roman" w:hAnsi="Times New Roman"/>
          <w:sz w:val="24"/>
          <w:szCs w:val="24"/>
          <w:color w:val="auto"/>
        </w:rPr>
        <w:t>Alınan kararlar Rektörlük Makamının onayına sunulur.</w:t>
      </w:r>
    </w:p>
    <w:p>
      <w:pPr>
        <w:ind w:left="700"/>
        <w:spacing w:after="0"/>
        <w:rPr>
          <w:sz w:val="20"/>
          <w:szCs w:val="20"/>
          <w:color w:val="auto"/>
        </w:rPr>
      </w:pPr>
      <w:r>
        <w:rPr>
          <w:rFonts w:ascii="Times New Roman" w:cs="Times New Roman" w:eastAsia="Times New Roman" w:hAnsi="Times New Roman"/>
          <w:sz w:val="24"/>
          <w:szCs w:val="24"/>
          <w:b w:val="1"/>
          <w:bCs w:val="1"/>
          <w:color w:val="auto"/>
        </w:rPr>
        <w:t>Kütüphane ve Dokümantasyon Müdürlüğü</w:t>
      </w: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Üniversitedeki kütüphane hizmetleri bu yönerge hükümleri çerçevesinde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Kütüphane ve Dokümantasyon Müdürlüğü, Müdürlüğe bağlı Teknik Hizmetler, Okuyucu Hizmetleri ve Otomasyon Hizmetleri Bölümü Sorumluları ile düzenlenir ve yürütülür. Bu Yönergenin 4 üncü maddesi uyarınca kurulan kütüphaneler, Kütüphane ve Dokümantasyon Müdürlüğünün genel koordinatörlüğü altında görev yaparlar ve Kütüphane ve Dokümantasyon Müdürüne karşı sorumludurlar.</w:t>
      </w:r>
    </w:p>
    <w:p>
      <w:pPr>
        <w:ind w:left="700"/>
        <w:spacing w:after="0" w:line="239" w:lineRule="auto"/>
        <w:rPr>
          <w:sz w:val="20"/>
          <w:szCs w:val="20"/>
          <w:color w:val="auto"/>
        </w:rPr>
      </w:pPr>
      <w:r>
        <w:rPr>
          <w:rFonts w:ascii="Times New Roman" w:cs="Times New Roman" w:eastAsia="Times New Roman" w:hAnsi="Times New Roman"/>
          <w:sz w:val="24"/>
          <w:szCs w:val="24"/>
          <w:b w:val="1"/>
          <w:bCs w:val="1"/>
          <w:color w:val="auto"/>
        </w:rPr>
        <w:t>Kütüphane ve Dokümantasyon Müdürü’nün Görevleri</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8 – </w:t>
      </w:r>
      <w:r>
        <w:rPr>
          <w:rFonts w:ascii="Times New Roman" w:cs="Times New Roman" w:eastAsia="Times New Roman" w:hAnsi="Times New Roman"/>
          <w:sz w:val="24"/>
          <w:szCs w:val="24"/>
          <w:color w:val="auto"/>
        </w:rPr>
        <w:t>Kütüphane ve Dokümantasyon Müdürü aşağıdaki görevleri yapar.</w:t>
      </w:r>
    </w:p>
    <w:p>
      <w:pPr>
        <w:jc w:val="both"/>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hizmetlerinin aksamadan yürütülebilmesi için yeterli kadroyu sağlamak için çalışmalar yapmak ve bu konuda üniversite yönetimine görüş bildirmek, Üniversitedeki kütüphane personeli arasında iş bölümüne giderek, personel üzerinde genel eğitim ve denetim görevini yapmak,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Koleksiyonunun belirlenen politikalar çerçevesinde oluşmasını, geliştirilmesini ve korunmasını sağlamak,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Kütüphanecilik alanındaki gelişmeleri izleyerek teknolojik yeniliklerin kütüphaneye girmesi için çalışmalar yapmak,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Kütüphanede kullanılan her türlü araç, gereç, bilgisayar v.b. malzemelerin en yeni teknoloji ile düzenli olarak yenilenmesini sağlamak,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Teknik ve okuyucu hizmetlerinin standartlaşmasını sağlamak ve denetimini yapmak,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hizmetleri hakkında rutin dönemleri kapsayan aylık, yıllık Kütüphane faaliyetleri raporu hazırlamak ve ilgili birimlere göndermek,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öğrencilerine ve kütüphanecilik eğitimi gören üniversite öğrencilerine staj ve uygulama çalışmaları için gerekenleri yapmak,</w:t>
      </w:r>
    </w:p>
    <w:p>
      <w:pPr>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Komisyonunun sekreteryasını yürütmek ve komisyon toplantılarını organize etmek,</w:t>
      </w:r>
    </w:p>
    <w:p>
      <w:pPr>
        <w:jc w:val="both"/>
        <w:ind w:left="1120" w:hanging="417"/>
        <w:spacing w:after="0"/>
        <w:tabs>
          <w:tab w:leader="none" w:pos="11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Yönerge uyarınca görev alanına giren ve kütüphane hizmetlerinin gerektirdiği diğer çalışmaları yapmak ve kütüphane işleyişinin çağdaş standartlara uygunluğunu sağlamak. Kütüphane ve Dokümantasyon Müdürü, tüm hizmetlerinden dolayı bağlı bulunduğu Rektör Yardımcısına karşı sorumludur.</w:t>
      </w:r>
    </w:p>
    <w:p>
      <w:pPr>
        <w:ind w:left="700"/>
        <w:spacing w:after="0"/>
        <w:rPr>
          <w:sz w:val="20"/>
          <w:szCs w:val="20"/>
          <w:color w:val="auto"/>
        </w:rPr>
      </w:pPr>
      <w:r>
        <w:rPr>
          <w:rFonts w:ascii="Times New Roman" w:cs="Times New Roman" w:eastAsia="Times New Roman" w:hAnsi="Times New Roman"/>
          <w:sz w:val="24"/>
          <w:szCs w:val="24"/>
          <w:b w:val="1"/>
          <w:bCs w:val="1"/>
          <w:color w:val="auto"/>
        </w:rPr>
        <w:t>Kütüphane hizmet birim ve altbirimleri</w:t>
      </w:r>
    </w:p>
    <w:p>
      <w:pPr>
        <w:ind w:firstLine="708"/>
        <w:spacing w:after="0" w:line="241" w:lineRule="auto"/>
        <w:rPr>
          <w:sz w:val="20"/>
          <w:szCs w:val="20"/>
          <w:color w:val="auto"/>
        </w:rPr>
      </w:pPr>
      <w:r>
        <w:rPr>
          <w:rFonts w:ascii="Times New Roman" w:cs="Times New Roman" w:eastAsia="Times New Roman" w:hAnsi="Times New Roman"/>
          <w:sz w:val="24"/>
          <w:szCs w:val="24"/>
          <w:b w:val="1"/>
          <w:bCs w:val="1"/>
          <w:color w:val="auto"/>
        </w:rPr>
        <w:t xml:space="preserve">MADDE 9 – </w:t>
      </w:r>
      <w:r>
        <w:rPr>
          <w:rFonts w:ascii="Times New Roman" w:cs="Times New Roman" w:eastAsia="Times New Roman" w:hAnsi="Times New Roman"/>
          <w:sz w:val="24"/>
          <w:szCs w:val="24"/>
          <w:color w:val="auto"/>
        </w:rPr>
        <w:t>Kütüphane hizmetleri Teknik Hizmetler, Okuyucu Hizmetleri ve Otomasyon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Hizmetleri olmak üzere üç grup halinde düzenlenir ve yürütülür.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A-Teknik Hizmetler Bölümü</w:t>
      </w:r>
    </w:p>
    <w:p>
      <w:pPr>
        <w:ind w:firstLine="709"/>
        <w:spacing w:after="0"/>
        <w:rPr>
          <w:sz w:val="20"/>
          <w:szCs w:val="20"/>
          <w:color w:val="auto"/>
        </w:rPr>
      </w:pPr>
      <w:r>
        <w:rPr>
          <w:rFonts w:ascii="Times New Roman" w:cs="Times New Roman" w:eastAsia="Times New Roman" w:hAnsi="Times New Roman"/>
          <w:sz w:val="24"/>
          <w:szCs w:val="24"/>
          <w:color w:val="auto"/>
        </w:rPr>
        <w:t>Teknik Hizmetler, bütün kütüphane materyalinin seçiminden okuyucuya sunulacak duruma getirilinceye kadar yapılan işlerin tamamıdır. Teknik Hizmetleri oluşturan birimler şunlardır:</w:t>
      </w:r>
    </w:p>
    <w:p>
      <w:pPr>
        <w:ind w:left="1120" w:hanging="417"/>
        <w:spacing w:after="0"/>
        <w:tabs>
          <w:tab w:leader="none" w:pos="11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Sağlama ve Sipariş Birimi</w:t>
      </w:r>
    </w:p>
    <w:p>
      <w:pPr>
        <w:ind w:left="1120" w:hanging="417"/>
        <w:spacing w:after="0"/>
        <w:tabs>
          <w:tab w:leader="none" w:pos="11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Kataloglama Birimi</w:t>
      </w:r>
    </w:p>
    <w:p>
      <w:pPr>
        <w:ind w:left="1120" w:hanging="417"/>
        <w:spacing w:after="0"/>
        <w:tabs>
          <w:tab w:leader="none" w:pos="11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Süreli Yayınlar Birimi</w:t>
      </w:r>
    </w:p>
    <w:p>
      <w:pPr>
        <w:spacing w:after="0" w:line="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pacing w:after="0" w:line="2"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2" w:name="page3"/>
    <w:bookmarkEnd w:id="2"/>
    <w:p>
      <w:pPr>
        <w:spacing w:after="0" w:line="7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Bu birimlerin görevleri aşağıda verilmiştir.</w:t>
      </w:r>
    </w:p>
    <w:p>
      <w:pPr>
        <w:spacing w:after="0" w:line="8"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Sipari </w:t>
      </w:r>
      <w:r>
        <w:rPr>
          <w:rFonts w:ascii="Times New Roman" w:cs="Times New Roman" w:eastAsia="Times New Roman" w:hAnsi="Times New Roman"/>
          <w:sz w:val="24"/>
          <w:szCs w:val="24"/>
          <w:b w:val="1"/>
          <w:bCs w:val="1"/>
          <w:i w:val="1"/>
          <w:iCs w:val="1"/>
          <w:color w:val="auto"/>
        </w:rPr>
        <w:t>ş</w:t>
      </w:r>
      <w:r>
        <w:rPr>
          <w:rFonts w:ascii="Times New Roman" w:cs="Times New Roman" w:eastAsia="Times New Roman" w:hAnsi="Times New Roman"/>
          <w:sz w:val="24"/>
          <w:szCs w:val="24"/>
          <w:b w:val="1"/>
          <w:bCs w:val="1"/>
          <w:i w:val="1"/>
          <w:iCs w:val="1"/>
          <w:color w:val="auto"/>
        </w:rPr>
        <w:t xml:space="preserve"> ve Sa</w:t>
      </w:r>
      <w:r>
        <w:rPr>
          <w:rFonts w:ascii="Times New Roman" w:cs="Times New Roman" w:eastAsia="Times New Roman" w:hAnsi="Times New Roman"/>
          <w:sz w:val="24"/>
          <w:szCs w:val="24"/>
          <w:b w:val="1"/>
          <w:bCs w:val="1"/>
          <w:i w:val="1"/>
          <w:iCs w:val="1"/>
          <w:color w:val="auto"/>
        </w:rPr>
        <w:t>ğ</w:t>
      </w:r>
      <w:r>
        <w:rPr>
          <w:rFonts w:ascii="Times New Roman" w:cs="Times New Roman" w:eastAsia="Times New Roman" w:hAnsi="Times New Roman"/>
          <w:sz w:val="24"/>
          <w:szCs w:val="24"/>
          <w:b w:val="1"/>
          <w:bCs w:val="1"/>
          <w:i w:val="1"/>
          <w:iCs w:val="1"/>
          <w:color w:val="auto"/>
        </w:rPr>
        <w:t xml:space="preserve">lama Birimi; </w:t>
      </w:r>
      <w:r>
        <w:rPr>
          <w:rFonts w:ascii="Times New Roman" w:cs="Times New Roman" w:eastAsia="Times New Roman" w:hAnsi="Times New Roman"/>
          <w:sz w:val="24"/>
          <w:szCs w:val="24"/>
          <w:color w:val="auto"/>
        </w:rPr>
        <w:t>Koleksiyonu geliştirme politikası çerçevesinde her türlü materyali</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seçmek, satın almak ve bağış veya değişim yolu ile sağlamak,</w:t>
      </w:r>
    </w:p>
    <w:p>
      <w:pPr>
        <w:jc w:val="both"/>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Kataloglama Birimi; </w:t>
      </w:r>
      <w:r>
        <w:rPr>
          <w:rFonts w:ascii="Times New Roman" w:cs="Times New Roman" w:eastAsia="Times New Roman" w:hAnsi="Times New Roman"/>
          <w:sz w:val="24"/>
          <w:szCs w:val="24"/>
          <w:color w:val="auto"/>
        </w:rPr>
        <w:t>Sağlanan kütüphane materyalinin çağdaş bilimsel yöntemler uyarınca</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kataloglamak, sınıflandırmak, etiketleme vb. İşleri yapmak ve kütüphane otomasyon programına kaydetmek, kullanıcıların yararlanmasına hazır hale getirmek,</w:t>
      </w:r>
    </w:p>
    <w:p>
      <w:pPr>
        <w:jc w:val="both"/>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Süreli Yay</w:t>
      </w:r>
      <w:r>
        <w:rPr>
          <w:rFonts w:ascii="Times New Roman" w:cs="Times New Roman" w:eastAsia="Times New Roman" w:hAnsi="Times New Roman"/>
          <w:sz w:val="24"/>
          <w:szCs w:val="24"/>
          <w:b w:val="1"/>
          <w:bCs w:val="1"/>
          <w:i w:val="1"/>
          <w:iCs w:val="1"/>
          <w:color w:val="auto"/>
        </w:rPr>
        <w:t>ı</w:t>
      </w:r>
      <w:r>
        <w:rPr>
          <w:rFonts w:ascii="Times New Roman" w:cs="Times New Roman" w:eastAsia="Times New Roman" w:hAnsi="Times New Roman"/>
          <w:sz w:val="24"/>
          <w:szCs w:val="24"/>
          <w:b w:val="1"/>
          <w:bCs w:val="1"/>
          <w:i w:val="1"/>
          <w:iCs w:val="1"/>
          <w:color w:val="auto"/>
        </w:rPr>
        <w:t xml:space="preserve">nlar Birimi; </w:t>
      </w:r>
      <w:r>
        <w:rPr>
          <w:rFonts w:ascii="Times New Roman" w:cs="Times New Roman" w:eastAsia="Times New Roman" w:hAnsi="Times New Roman"/>
          <w:sz w:val="24"/>
          <w:szCs w:val="24"/>
          <w:color w:val="auto"/>
        </w:rPr>
        <w:t>Üniversite eğitim-öğretimini destekleyecek, araştırmalarda yardımcı</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olacak süreli yayın koleksiyonunu oluşturmak ve geliştirmek üzere bunları seçerek, satın alma, bağış ve değişim yoluyla temin eden ve belli bir düzen içinde kullanıma sunulmasını sağlamak,</w:t>
      </w:r>
    </w:p>
    <w:p>
      <w:pPr>
        <w:jc w:val="both"/>
        <w:spacing w:after="0"/>
        <w:rPr>
          <w:sz w:val="20"/>
          <w:szCs w:val="20"/>
          <w:color w:val="auto"/>
        </w:rPr>
      </w:pPr>
      <w:r>
        <w:rPr>
          <w:rFonts w:ascii="Times New Roman" w:cs="Times New Roman" w:eastAsia="Times New Roman" w:hAnsi="Times New Roman"/>
          <w:sz w:val="24"/>
          <w:szCs w:val="24"/>
          <w:color w:val="auto"/>
        </w:rPr>
        <w:t>Teknik Hizmetler Bölümü ayrıca koleksiyonun güncel tutulması amacıyla periyodik olarak (en az yılda bir kez) ayıklamasının yapılması, yıpranmış materyalin onarımı ve süreli yayınların cilde gönderilmesi hizmetlerinden sorumludur.</w:t>
      </w:r>
    </w:p>
    <w:p>
      <w:pPr>
        <w:ind w:left="700"/>
        <w:spacing w:after="0"/>
        <w:rPr>
          <w:sz w:val="20"/>
          <w:szCs w:val="20"/>
          <w:color w:val="auto"/>
        </w:rPr>
      </w:pPr>
      <w:r>
        <w:rPr>
          <w:rFonts w:ascii="Times New Roman" w:cs="Times New Roman" w:eastAsia="Times New Roman" w:hAnsi="Times New Roman"/>
          <w:sz w:val="24"/>
          <w:szCs w:val="24"/>
          <w:b w:val="1"/>
          <w:bCs w:val="1"/>
          <w:color w:val="auto"/>
        </w:rPr>
        <w:t>B- Okuyucu Hizmetleri Bölümü</w:t>
      </w:r>
    </w:p>
    <w:p>
      <w:pPr>
        <w:jc w:val="both"/>
        <w:ind w:firstLine="709"/>
        <w:spacing w:after="0" w:line="239" w:lineRule="auto"/>
        <w:rPr>
          <w:sz w:val="20"/>
          <w:szCs w:val="20"/>
          <w:color w:val="auto"/>
        </w:rPr>
      </w:pPr>
      <w:r>
        <w:rPr>
          <w:rFonts w:ascii="Times New Roman" w:cs="Times New Roman" w:eastAsia="Times New Roman" w:hAnsi="Times New Roman"/>
          <w:sz w:val="24"/>
          <w:szCs w:val="24"/>
          <w:color w:val="auto"/>
        </w:rPr>
        <w:t>Okuyucu Hizmetleri kütüphane bilgi kaynaklarından ve kütüphaneden okuyucuların en verimli şekilde yararlanmalarını sağlayan hizmetlerdir. Okuyucu Hizmetlerini oluşturan birimler şunlardır:</w:t>
      </w:r>
    </w:p>
    <w:p>
      <w:pPr>
        <w:spacing w:after="0" w:line="2" w:lineRule="exact"/>
        <w:rPr>
          <w:sz w:val="20"/>
          <w:szCs w:val="20"/>
          <w:color w:val="auto"/>
        </w:rPr>
      </w:pPr>
    </w:p>
    <w:p>
      <w:pPr>
        <w:ind w:left="1120" w:hanging="417"/>
        <w:spacing w:after="0"/>
        <w:tabs>
          <w:tab w:leader="none" w:pos="11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Verme Birimi</w:t>
      </w:r>
    </w:p>
    <w:p>
      <w:pPr>
        <w:ind w:left="1120" w:hanging="417"/>
        <w:spacing w:after="0"/>
        <w:tabs>
          <w:tab w:leader="none" w:pos="11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Reserve Birimi</w:t>
      </w:r>
    </w:p>
    <w:p>
      <w:pPr>
        <w:ind w:left="1120" w:hanging="417"/>
        <w:spacing w:after="0"/>
        <w:tabs>
          <w:tab w:leader="none" w:pos="11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Kütüphanelerarası (ILL) İşbirliği Birimi</w:t>
      </w:r>
    </w:p>
    <w:p>
      <w:pPr>
        <w:ind w:left="1120" w:hanging="417"/>
        <w:spacing w:after="0"/>
        <w:tabs>
          <w:tab w:leader="none" w:pos="11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Referans Birimi</w:t>
      </w:r>
    </w:p>
    <w:p>
      <w:pPr>
        <w:ind w:left="700"/>
        <w:spacing w:after="0"/>
        <w:rPr>
          <w:sz w:val="20"/>
          <w:szCs w:val="20"/>
          <w:color w:val="auto"/>
        </w:rPr>
      </w:pPr>
      <w:r>
        <w:rPr>
          <w:rFonts w:ascii="Times New Roman" w:cs="Times New Roman" w:eastAsia="Times New Roman" w:hAnsi="Times New Roman"/>
          <w:sz w:val="24"/>
          <w:szCs w:val="24"/>
          <w:color w:val="auto"/>
        </w:rPr>
        <w:t>Bu birimlerin görevleri aşağıda verilmiştir.</w:t>
      </w:r>
    </w:p>
    <w:p>
      <w:pPr>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Ödünç Verme Birimi; </w:t>
      </w:r>
      <w:r>
        <w:rPr>
          <w:rFonts w:ascii="Times New Roman" w:cs="Times New Roman" w:eastAsia="Times New Roman" w:hAnsi="Times New Roman"/>
          <w:sz w:val="24"/>
          <w:szCs w:val="24"/>
          <w:color w:val="auto"/>
        </w:rPr>
        <w:t>Kütüphane koleksiyonundan okuyucunun yararlanmasını sağlamak</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amacıyla her türlü hizmeti geliştirmek,</w:t>
      </w:r>
    </w:p>
    <w:p>
      <w:pPr>
        <w:ind w:left="700" w:right="2260"/>
        <w:spacing w:after="0"/>
        <w:rPr>
          <w:sz w:val="20"/>
          <w:szCs w:val="20"/>
          <w:color w:val="auto"/>
        </w:rPr>
      </w:pPr>
      <w:r>
        <w:rPr>
          <w:rFonts w:ascii="Times New Roman" w:cs="Times New Roman" w:eastAsia="Times New Roman" w:hAnsi="Times New Roman"/>
          <w:sz w:val="24"/>
          <w:szCs w:val="24"/>
          <w:color w:val="auto"/>
        </w:rPr>
        <w:t>Okuyucuların aradıkları yayınlara kolayca ulaşmalarını sağlamak, Ödünç alınan materyallerin kütüphaneye iadelerinin takibini yapmak,</w:t>
      </w:r>
    </w:p>
    <w:p>
      <w:pPr>
        <w:ind w:left="700"/>
        <w:spacing w:after="0"/>
        <w:rPr>
          <w:sz w:val="20"/>
          <w:szCs w:val="20"/>
          <w:color w:val="auto"/>
        </w:rPr>
      </w:pPr>
      <w:r>
        <w:rPr>
          <w:rFonts w:ascii="Times New Roman" w:cs="Times New Roman" w:eastAsia="Times New Roman" w:hAnsi="Times New Roman"/>
          <w:sz w:val="24"/>
          <w:szCs w:val="24"/>
          <w:color w:val="auto"/>
        </w:rPr>
        <w:t>Görsel ve işitsel araç, gereç ve materyali kullanıcıların hizmetine hazır bulundurmak,</w:t>
      </w:r>
    </w:p>
    <w:p>
      <w:pPr>
        <w:ind w:left="700"/>
        <w:spacing w:after="0"/>
        <w:rPr>
          <w:sz w:val="20"/>
          <w:szCs w:val="20"/>
          <w:color w:val="auto"/>
        </w:rPr>
      </w:pPr>
      <w:r>
        <w:rPr>
          <w:rFonts w:ascii="Times New Roman" w:cs="Times New Roman" w:eastAsia="Times New Roman" w:hAnsi="Times New Roman"/>
          <w:sz w:val="23"/>
          <w:szCs w:val="23"/>
          <w:color w:val="auto"/>
        </w:rPr>
        <w:t>Okuyucu salonları ile kitap raflarını düzenlemek ve düzgün bir şekilde tutulmasını sağlamak,</w:t>
      </w:r>
    </w:p>
    <w:p>
      <w:pPr>
        <w:spacing w:after="0" w:line="12"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Reserve Birimi; </w:t>
      </w:r>
      <w:r>
        <w:rPr>
          <w:rFonts w:ascii="Times New Roman" w:cs="Times New Roman" w:eastAsia="Times New Roman" w:hAnsi="Times New Roman"/>
          <w:sz w:val="24"/>
          <w:szCs w:val="24"/>
          <w:color w:val="auto"/>
        </w:rPr>
        <w:t>Üniversite eğitim ve öğretim programına göre Öğretim üye ve elemanlarının</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genel koleksiyon içerisinden alınıp kısa süreli ödünç verilmesini istedikleri materyalleri hizmete sunmak ve takip etmek,</w:t>
      </w:r>
    </w:p>
    <w:p>
      <w:pPr>
        <w:jc w:val="both"/>
        <w:ind w:firstLine="708"/>
        <w:spacing w:after="0"/>
        <w:rPr>
          <w:sz w:val="20"/>
          <w:szCs w:val="20"/>
          <w:color w:val="auto"/>
        </w:rPr>
      </w:pPr>
      <w:r>
        <w:rPr>
          <w:rFonts w:ascii="Times New Roman" w:cs="Times New Roman" w:eastAsia="Times New Roman" w:hAnsi="Times New Roman"/>
          <w:sz w:val="24"/>
          <w:szCs w:val="24"/>
          <w:color w:val="auto"/>
        </w:rPr>
        <w:t>Öğretim Üye ve elemanlarının öğrenciye ulaştırmak istedikleri her türlü materyali saklamak, hizmete sunmak ve takip etmek,</w:t>
      </w:r>
    </w:p>
    <w:p>
      <w:pPr>
        <w:jc w:val="both"/>
        <w:ind w:firstLine="708"/>
        <w:spacing w:after="0"/>
        <w:rPr>
          <w:sz w:val="20"/>
          <w:szCs w:val="20"/>
          <w:color w:val="auto"/>
        </w:rPr>
      </w:pPr>
      <w:r>
        <w:rPr>
          <w:rFonts w:ascii="Times New Roman" w:cs="Times New Roman" w:eastAsia="Times New Roman" w:hAnsi="Times New Roman"/>
          <w:sz w:val="24"/>
          <w:szCs w:val="24"/>
          <w:b w:val="1"/>
          <w:bCs w:val="1"/>
          <w:i w:val="1"/>
          <w:iCs w:val="1"/>
          <w:color w:val="auto"/>
        </w:rPr>
        <w:t>Kütüphaneleraras</w:t>
      </w:r>
      <w:r>
        <w:rPr>
          <w:rFonts w:ascii="Times New Roman" w:cs="Times New Roman" w:eastAsia="Times New Roman" w:hAnsi="Times New Roman"/>
          <w:sz w:val="24"/>
          <w:szCs w:val="24"/>
          <w:b w:val="1"/>
          <w:bCs w:val="1"/>
          <w:i w:val="1"/>
          <w:iCs w:val="1"/>
          <w:color w:val="auto"/>
        </w:rPr>
        <w:t>ı</w:t>
      </w:r>
      <w:r>
        <w:rPr>
          <w:rFonts w:ascii="Times New Roman" w:cs="Times New Roman" w:eastAsia="Times New Roman" w:hAnsi="Times New Roman"/>
          <w:sz w:val="24"/>
          <w:szCs w:val="24"/>
          <w:b w:val="1"/>
          <w:bCs w:val="1"/>
          <w:i w:val="1"/>
          <w:iCs w:val="1"/>
          <w:color w:val="auto"/>
        </w:rPr>
        <w:t xml:space="preserve"> (ILL) </w:t>
      </w:r>
      <w:r>
        <w:rPr>
          <w:rFonts w:ascii="Times New Roman" w:cs="Times New Roman" w:eastAsia="Times New Roman" w:hAnsi="Times New Roman"/>
          <w:sz w:val="24"/>
          <w:szCs w:val="24"/>
          <w:b w:val="1"/>
          <w:bCs w:val="1"/>
          <w:i w:val="1"/>
          <w:iCs w:val="1"/>
          <w:color w:val="auto"/>
        </w:rPr>
        <w:t>İş</w:t>
      </w:r>
      <w:r>
        <w:rPr>
          <w:rFonts w:ascii="Times New Roman" w:cs="Times New Roman" w:eastAsia="Times New Roman" w:hAnsi="Times New Roman"/>
          <w:sz w:val="24"/>
          <w:szCs w:val="24"/>
          <w:b w:val="1"/>
          <w:bCs w:val="1"/>
          <w:i w:val="1"/>
          <w:iCs w:val="1"/>
          <w:color w:val="auto"/>
        </w:rPr>
        <w:t>birli</w:t>
      </w:r>
      <w:r>
        <w:rPr>
          <w:rFonts w:ascii="Times New Roman" w:cs="Times New Roman" w:eastAsia="Times New Roman" w:hAnsi="Times New Roman"/>
          <w:sz w:val="24"/>
          <w:szCs w:val="24"/>
          <w:b w:val="1"/>
          <w:bCs w:val="1"/>
          <w:i w:val="1"/>
          <w:iCs w:val="1"/>
          <w:color w:val="auto"/>
        </w:rPr>
        <w:t>ğ</w:t>
      </w:r>
      <w:r>
        <w:rPr>
          <w:rFonts w:ascii="Times New Roman" w:cs="Times New Roman" w:eastAsia="Times New Roman" w:hAnsi="Times New Roman"/>
          <w:sz w:val="24"/>
          <w:szCs w:val="24"/>
          <w:b w:val="1"/>
          <w:bCs w:val="1"/>
          <w:i w:val="1"/>
          <w:iCs w:val="1"/>
          <w:color w:val="auto"/>
        </w:rPr>
        <w:t xml:space="preserve">i Birimi; </w:t>
      </w:r>
      <w:r>
        <w:rPr>
          <w:rFonts w:ascii="Times New Roman" w:cs="Times New Roman" w:eastAsia="Times New Roman" w:hAnsi="Times New Roman"/>
          <w:sz w:val="24"/>
          <w:szCs w:val="24"/>
          <w:color w:val="auto"/>
        </w:rPr>
        <w:t>Kütüphanede bulunmayan materyalin,</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Kütüphanelerarası Ödünç Verme Sistemi (ILL) çerçevesinde yurtiçi ve yurtdışı kurumlardan sağlamak ve takip etmek,</w:t>
      </w:r>
    </w:p>
    <w:p>
      <w:pPr>
        <w:jc w:val="both"/>
        <w:ind w:firstLine="708"/>
        <w:spacing w:after="0"/>
        <w:rPr>
          <w:sz w:val="20"/>
          <w:szCs w:val="20"/>
          <w:color w:val="auto"/>
        </w:rPr>
      </w:pPr>
      <w:r>
        <w:rPr>
          <w:rFonts w:ascii="Times New Roman" w:cs="Times New Roman" w:eastAsia="Times New Roman" w:hAnsi="Times New Roman"/>
          <w:sz w:val="24"/>
          <w:szCs w:val="24"/>
          <w:color w:val="auto"/>
        </w:rPr>
        <w:t>Yurtiçi ve yurtdışı üniversite kütüphanelerinden (ILL) çerçevesinde gelen istekleri karşılamak ve takip etmek,</w:t>
      </w:r>
    </w:p>
    <w:p>
      <w:pPr>
        <w:ind w:left="700"/>
        <w:spacing w:after="0"/>
        <w:rPr>
          <w:sz w:val="20"/>
          <w:szCs w:val="20"/>
          <w:color w:val="auto"/>
        </w:rPr>
      </w:pPr>
      <w:r>
        <w:rPr>
          <w:rFonts w:ascii="Times New Roman" w:cs="Times New Roman" w:eastAsia="Times New Roman" w:hAnsi="Times New Roman"/>
          <w:sz w:val="24"/>
          <w:szCs w:val="24"/>
          <w:color w:val="auto"/>
        </w:rPr>
        <w:t xml:space="preserve">Bu konu ile ilgili kurulmuş ulusal ve uluslararası kurum ve kuruluşlarla işbirliği yapmak, </w:t>
      </w:r>
      <w:r>
        <w:rPr>
          <w:rFonts w:ascii="Times New Roman" w:cs="Times New Roman" w:eastAsia="Times New Roman" w:hAnsi="Times New Roman"/>
          <w:sz w:val="24"/>
          <w:szCs w:val="24"/>
          <w:b w:val="1"/>
          <w:bCs w:val="1"/>
          <w:i w:val="1"/>
          <w:iCs w:val="1"/>
          <w:color w:val="auto"/>
        </w:rPr>
        <w:t xml:space="preserve">Referans Birimi; </w:t>
      </w:r>
      <w:r>
        <w:rPr>
          <w:rFonts w:ascii="Times New Roman" w:cs="Times New Roman" w:eastAsia="Times New Roman" w:hAnsi="Times New Roman"/>
          <w:sz w:val="24"/>
          <w:szCs w:val="24"/>
          <w:color w:val="auto"/>
        </w:rPr>
        <w:t>Kütüphane koleksiyonu ve kullanımının, Üniversite içinde ve dışında</w:t>
      </w:r>
    </w:p>
    <w:p>
      <w:pPr>
        <w:spacing w:after="0"/>
        <w:rPr>
          <w:sz w:val="20"/>
          <w:szCs w:val="20"/>
          <w:color w:val="auto"/>
        </w:rPr>
      </w:pPr>
      <w:r>
        <w:rPr>
          <w:rFonts w:ascii="Times New Roman" w:cs="Times New Roman" w:eastAsia="Times New Roman" w:hAnsi="Times New Roman"/>
          <w:sz w:val="24"/>
          <w:szCs w:val="24"/>
          <w:color w:val="auto"/>
        </w:rPr>
        <w:t>okuyucuya tanıtımını sağlamak,</w:t>
      </w:r>
    </w:p>
    <w:p>
      <w:pPr>
        <w:jc w:val="both"/>
        <w:ind w:firstLine="708"/>
        <w:spacing w:after="0"/>
        <w:rPr>
          <w:sz w:val="20"/>
          <w:szCs w:val="20"/>
          <w:color w:val="auto"/>
        </w:rPr>
      </w:pPr>
      <w:r>
        <w:rPr>
          <w:rFonts w:ascii="Times New Roman" w:cs="Times New Roman" w:eastAsia="Times New Roman" w:hAnsi="Times New Roman"/>
          <w:sz w:val="24"/>
          <w:szCs w:val="24"/>
          <w:color w:val="auto"/>
        </w:rPr>
        <w:t>Kütüphane materyalinin kullanımına yardımcı olmak amacıyla hizmetiçi eğitim programları düzenlemek,</w:t>
      </w:r>
    </w:p>
    <w:p>
      <w:pPr>
        <w:jc w:val="both"/>
        <w:ind w:firstLine="708"/>
        <w:spacing w:after="0"/>
        <w:rPr>
          <w:sz w:val="20"/>
          <w:szCs w:val="20"/>
          <w:color w:val="auto"/>
        </w:rPr>
      </w:pPr>
      <w:r>
        <w:rPr>
          <w:rFonts w:ascii="Times New Roman" w:cs="Times New Roman" w:eastAsia="Times New Roman" w:hAnsi="Times New Roman"/>
          <w:sz w:val="24"/>
          <w:szCs w:val="24"/>
          <w:color w:val="auto"/>
        </w:rPr>
        <w:t>Bibliyografya taramaları yapmak, yeni çıkan yayınları okuyucuya duyurmak ve enformasyon hizmetlerini yürütmek,</w:t>
      </w:r>
    </w:p>
    <w:p>
      <w:pPr>
        <w:ind w:left="700"/>
        <w:spacing w:after="0"/>
        <w:rPr>
          <w:sz w:val="20"/>
          <w:szCs w:val="20"/>
          <w:color w:val="auto"/>
        </w:rPr>
      </w:pPr>
      <w:r>
        <w:rPr>
          <w:rFonts w:ascii="Times New Roman" w:cs="Times New Roman" w:eastAsia="Times New Roman" w:hAnsi="Times New Roman"/>
          <w:sz w:val="24"/>
          <w:szCs w:val="24"/>
          <w:color w:val="auto"/>
        </w:rPr>
        <w:t>Kütüphane duyuru hizmeti vermek,</w:t>
      </w:r>
    </w:p>
    <w:p>
      <w:pPr>
        <w:jc w:val="both"/>
        <w:ind w:firstLine="708"/>
        <w:spacing w:after="0"/>
        <w:rPr>
          <w:sz w:val="20"/>
          <w:szCs w:val="20"/>
          <w:color w:val="auto"/>
        </w:rPr>
      </w:pPr>
      <w:r>
        <w:rPr>
          <w:rFonts w:ascii="Times New Roman" w:cs="Times New Roman" w:eastAsia="Times New Roman" w:hAnsi="Times New Roman"/>
          <w:sz w:val="24"/>
          <w:szCs w:val="24"/>
          <w:color w:val="auto"/>
        </w:rPr>
        <w:t>Kullanıcıların memnuniyetinin ölçülmesi amacıyla çeşitli araştırma yöntemlerini içeren çalışmaları hazırlamak ve uygulamak,</w:t>
      </w:r>
    </w:p>
    <w:p>
      <w:pPr>
        <w:jc w:val="both"/>
        <w:ind w:firstLine="708"/>
        <w:spacing w:after="0" w:line="249" w:lineRule="auto"/>
        <w:rPr>
          <w:sz w:val="20"/>
          <w:szCs w:val="20"/>
          <w:color w:val="auto"/>
        </w:rPr>
      </w:pPr>
      <w:r>
        <w:rPr>
          <w:rFonts w:ascii="Times New Roman" w:cs="Times New Roman" w:eastAsia="Times New Roman" w:hAnsi="Times New Roman"/>
          <w:sz w:val="24"/>
          <w:szCs w:val="24"/>
          <w:color w:val="auto"/>
        </w:rPr>
        <w:t>Elektronik veri tabanlarının verimli bir sekilde kullanılmasını sağlamak amacı ile yeni aboneliklerin deneme erişimlerini duyurmak, kullanıcı eğitimleri vermek, kullanıcı istatistiklerini tutmak ve verimli kullanılması için politikalar geliştirmek,</w:t>
      </w:r>
    </w:p>
    <w:p>
      <w:pPr>
        <w:spacing w:after="0" w:line="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pacing w:after="0" w:line="2"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C- Otomasyon Hizmetleri Bölümü</w:t>
      </w:r>
    </w:p>
    <w:p>
      <w:pPr>
        <w:spacing w:after="0" w:line="10" w:lineRule="exact"/>
        <w:rPr>
          <w:sz w:val="20"/>
          <w:szCs w:val="20"/>
          <w:color w:val="auto"/>
        </w:rPr>
      </w:pPr>
    </w:p>
    <w:p>
      <w:pPr>
        <w:ind w:left="1120" w:hanging="417"/>
        <w:spacing w:after="0"/>
        <w:tabs>
          <w:tab w:leader="none" w:pos="11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web sayfasını düzenlemek, geliştirmek ve yenilemek,</w:t>
      </w:r>
    </w:p>
    <w:p>
      <w:pPr>
        <w:ind w:left="1120" w:hanging="417"/>
        <w:spacing w:after="0"/>
        <w:tabs>
          <w:tab w:leader="none" w:pos="11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otomasyon programını geliştirmek ve yenilikleri takip etmek,</w:t>
      </w:r>
    </w:p>
    <w:p>
      <w:pPr>
        <w:ind w:left="1120" w:hanging="417"/>
        <w:spacing w:after="0"/>
        <w:tabs>
          <w:tab w:leader="none" w:pos="11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bilgisayarlarındaki sorunları gidermek</w:t>
      </w:r>
    </w:p>
    <w:p>
      <w:pPr>
        <w:ind w:left="700" w:right="1440" w:firstLine="3"/>
        <w:spacing w:after="0"/>
        <w:tabs>
          <w:tab w:leader="none" w:pos="112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Eğitimde kullanılacak yeni teknolojileri takip etmek ve bunları duyurmak D- Birim Kütüphaneleri</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Bulunduğu birimin kütüphane hizmetlerini yerine getiren ve teknik hizmetleri merkez</w:t>
      </w:r>
    </w:p>
    <w:p>
      <w:pPr>
        <w:spacing w:after="0"/>
        <w:rPr>
          <w:sz w:val="20"/>
          <w:szCs w:val="20"/>
          <w:color w:val="auto"/>
        </w:rPr>
      </w:pPr>
      <w:r>
        <w:rPr>
          <w:rFonts w:ascii="Times New Roman" w:cs="Times New Roman" w:eastAsia="Times New Roman" w:hAnsi="Times New Roman"/>
          <w:sz w:val="24"/>
          <w:szCs w:val="24"/>
          <w:color w:val="auto"/>
        </w:rPr>
        <w:t>kütüphanede yapılmak üzere Kütüphane ve Dokümantasyon Müdürlüğüne bağlı olarak çalışan kütüphanelerdir.</w:t>
      </w:r>
    </w:p>
    <w:p>
      <w:pPr>
        <w:ind w:left="700"/>
        <w:spacing w:after="0"/>
        <w:rPr>
          <w:sz w:val="20"/>
          <w:szCs w:val="20"/>
          <w:color w:val="auto"/>
        </w:rPr>
      </w:pPr>
      <w:r>
        <w:rPr>
          <w:rFonts w:ascii="Times New Roman" w:cs="Times New Roman" w:eastAsia="Times New Roman" w:hAnsi="Times New Roman"/>
          <w:sz w:val="24"/>
          <w:szCs w:val="24"/>
          <w:color w:val="auto"/>
        </w:rPr>
        <w:t>Birim Kütüphaneleri</w:t>
      </w:r>
    </w:p>
    <w:p>
      <w:pPr>
        <w:ind w:left="1120" w:hanging="417"/>
        <w:spacing w:after="0"/>
        <w:tabs>
          <w:tab w:leader="none" w:pos="112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Kütüphanelerinde verilecek hizmetleri Kütüphane ve Dokümantasyon Müdürlüğü tarafından yapılan düzenlemeler çerçevesi içinde yürütmek,</w:t>
      </w:r>
    </w:p>
    <w:p>
      <w:pPr>
        <w:ind w:left="1120" w:hanging="417"/>
        <w:spacing w:after="0" w:line="239" w:lineRule="auto"/>
        <w:tabs>
          <w:tab w:leader="none" w:pos="11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Kütüphanelerince ihtiyaç duyulan araç-gereç ve diğer her türlü kütüphane materyalini Kütüphane ve Dokümantasyon Müdürlüğüne bildirmek,</w:t>
      </w:r>
    </w:p>
    <w:p>
      <w:pPr>
        <w:spacing w:after="0" w:line="1" w:lineRule="exact"/>
        <w:rPr>
          <w:rFonts w:ascii="Times New Roman" w:cs="Times New Roman" w:eastAsia="Times New Roman" w:hAnsi="Times New Roman"/>
          <w:sz w:val="24"/>
          <w:szCs w:val="24"/>
          <w:color w:val="auto"/>
        </w:rPr>
      </w:pPr>
    </w:p>
    <w:p>
      <w:pPr>
        <w:ind w:left="1120" w:hanging="417"/>
        <w:spacing w:after="0"/>
        <w:tabs>
          <w:tab w:leader="none" w:pos="112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Hazırlayacağı aylık ve yıllık faaliyet raporunu Kütüphane ve Dokümantasyon Müdürlüğüne sunmak,</w:t>
      </w:r>
    </w:p>
    <w:p>
      <w:pPr>
        <w:ind w:left="1120" w:hanging="417"/>
        <w:spacing w:after="0" w:line="271" w:lineRule="auto"/>
        <w:tabs>
          <w:tab w:leader="none" w:pos="11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Yönerge uyarınca görev alanına giren ve kütüphane hizmetlerinin gerektirdiği diğer çalışmaları yapmakla yükümlüdürler.</w:t>
      </w:r>
    </w:p>
    <w:p>
      <w:pPr>
        <w:spacing w:after="0" w:line="195"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Koleksiyon Geliştirme Politikası İlkeleri</w:t>
      </w: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Kütüphane koleksiyon geliştirme politikası üniversitenin eğitim, öğretim,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araştırma alanları ve kültürel ihtiyaçları doğrultusunda belirlenmektedir. Üniversite koleksiyonunun geliştirilmesi için belirlenen ilkelere göre, seçtiği bilgi kaynaklarını satın alabilir, diğer üniversiteler ve kurumlarla yayın değişimi yapabilir ve bireysel veya kurumsal bağışları kabul edebilir.</w:t>
      </w:r>
    </w:p>
    <w:p>
      <w:pPr>
        <w:ind w:left="720"/>
        <w:spacing w:after="0"/>
        <w:rPr>
          <w:sz w:val="20"/>
          <w:szCs w:val="20"/>
          <w:color w:val="auto"/>
        </w:rPr>
      </w:pPr>
      <w:r>
        <w:rPr>
          <w:rFonts w:ascii="Times New Roman" w:cs="Times New Roman" w:eastAsia="Times New Roman" w:hAnsi="Times New Roman"/>
          <w:sz w:val="24"/>
          <w:szCs w:val="24"/>
          <w:b w:val="1"/>
          <w:bCs w:val="1"/>
          <w:color w:val="auto"/>
        </w:rPr>
        <w:t>I. Sağlanacak her türlü bilgi kaynağı, aşağıdaki genel ilkelere göre seçilir:</w:t>
      </w:r>
    </w:p>
    <w:p>
      <w:pPr>
        <w:jc w:val="both"/>
        <w:ind w:left="1120" w:hanging="417"/>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Seçilen kaynaklar, Üniversitede verilen bütün eğitim-öğretim alanları ve yapılan araştırmaları destekleyici düzeyde ve nitelikte; bilim dalları/konuları açısından uygun olmalıdır.</w:t>
      </w:r>
    </w:p>
    <w:p>
      <w:pPr>
        <w:jc w:val="both"/>
        <w:ind w:left="1120" w:hanging="417"/>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Seçimde, koleksiyonun bütünü ve eğitim-öğretimdeki öğretim elemanı/öğrenci oranı arasındaki denge korunarak, yetkin ve/veya güncel bilgiyi içermesine dikkat edilmelidir.</w:t>
      </w:r>
    </w:p>
    <w:p>
      <w:pPr>
        <w:ind w:left="1120" w:hanging="417"/>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Koleksiyon, kullanıcıların bilgi gereksinimlerini karşılayacak şekilde konu, dil ve tür açısından yeterli çeşitlilikte olmalıdır.</w:t>
      </w:r>
    </w:p>
    <w:p>
      <w:pPr>
        <w:ind w:left="1120" w:hanging="417"/>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Kullanıcıların kültürel gelişimlerini ve ders dışı zamanlarını da değerlendirmelerini sağlayacak, düzeylerine uygun edebi ve kültürel eserler bulundurulmalıdır.</w:t>
      </w:r>
    </w:p>
    <w:p>
      <w:pPr>
        <w:ind w:left="1120" w:hanging="417"/>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Öğretim elemanlarının eğitim–öğretim ve araştırma için önerdikleri kaynakların, koleksiyon bütünlüğü ve gereksinimler doğrultusunda satın alınmasına öncelik verilir.</w:t>
      </w:r>
    </w:p>
    <w:p>
      <w:pPr>
        <w:ind w:left="1120" w:hanging="417"/>
        <w:spacing w:after="0" w:line="241" w:lineRule="auto"/>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Satın alınan/kiralanan ve/veya açık erişimli elektronik kaynakların seçiminde de aynı esaslar dikkate alınır.</w:t>
      </w:r>
    </w:p>
    <w:p>
      <w:pPr>
        <w:ind w:left="1080" w:hanging="366"/>
        <w:spacing w:after="0" w:line="237" w:lineRule="auto"/>
        <w:tabs>
          <w:tab w:leader="none" w:pos="1080" w:val="left"/>
        </w:tabs>
        <w:numPr>
          <w:ilvl w:val="1"/>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Değişim ve bağış olarak sağlanacak bilgi kaynakları ile ilgili ilkeler:</w:t>
      </w:r>
    </w:p>
    <w:p>
      <w:pPr>
        <w:spacing w:after="0" w:line="1" w:lineRule="exact"/>
        <w:rPr>
          <w:sz w:val="20"/>
          <w:szCs w:val="20"/>
          <w:color w:val="auto"/>
        </w:rPr>
      </w:pPr>
    </w:p>
    <w:p>
      <w:pPr>
        <w:ind w:firstLine="708"/>
        <w:spacing w:after="0"/>
        <w:rPr>
          <w:sz w:val="20"/>
          <w:szCs w:val="20"/>
          <w:color w:val="auto"/>
        </w:rPr>
      </w:pPr>
      <w:r>
        <w:rPr>
          <w:rFonts w:ascii="Times New Roman" w:cs="Times New Roman" w:eastAsia="Times New Roman" w:hAnsi="Times New Roman"/>
          <w:sz w:val="24"/>
          <w:szCs w:val="24"/>
          <w:color w:val="auto"/>
        </w:rPr>
        <w:t>Kısım I’de anılan genel esaslar, değişim ve bağış olarak sağlanan bilgi kaynakları için de geçerlidir. Ayrıca aşağıdaki hususlara da dikkat edilmelidir.</w:t>
      </w:r>
    </w:p>
    <w:p>
      <w:pPr>
        <w:ind w:firstLine="708"/>
        <w:spacing w:after="0"/>
        <w:rPr>
          <w:sz w:val="20"/>
          <w:szCs w:val="20"/>
          <w:color w:val="auto"/>
        </w:rPr>
      </w:pPr>
      <w:r>
        <w:rPr>
          <w:rFonts w:ascii="Times New Roman" w:cs="Times New Roman" w:eastAsia="Times New Roman" w:hAnsi="Times New Roman"/>
          <w:sz w:val="24"/>
          <w:szCs w:val="24"/>
          <w:color w:val="auto"/>
        </w:rPr>
        <w:t>Kütüphane bağış yapılan bilgi kaynaklarının koleksiyona eklenip eklenemeyeceği ve hangi bölümde yer alacağı konusunda karar verme hakkına sahiptir.</w:t>
      </w:r>
    </w:p>
    <w:p>
      <w:pPr>
        <w:ind w:firstLine="708"/>
        <w:spacing w:after="0"/>
        <w:rPr>
          <w:sz w:val="20"/>
          <w:szCs w:val="20"/>
          <w:color w:val="auto"/>
        </w:rPr>
      </w:pPr>
      <w:r>
        <w:rPr>
          <w:rFonts w:ascii="Times New Roman" w:cs="Times New Roman" w:eastAsia="Times New Roman" w:hAnsi="Times New Roman"/>
          <w:sz w:val="24"/>
          <w:szCs w:val="24"/>
          <w:color w:val="auto"/>
        </w:rPr>
        <w:t>Kütüphane bağış yapılan bilgi kaynaklarının listesinin duyurusunun yapılmasından sorumlu değildir. Bununla beraber bağış yapılan bilgi kaynaklarının listesi tutulmaktadır.</w:t>
      </w:r>
    </w:p>
    <w:p>
      <w:pPr>
        <w:ind w:firstLine="709"/>
        <w:spacing w:after="0" w:line="254" w:lineRule="auto"/>
        <w:rPr>
          <w:sz w:val="20"/>
          <w:szCs w:val="20"/>
          <w:color w:val="auto"/>
        </w:rPr>
      </w:pPr>
      <w:r>
        <w:rPr>
          <w:rFonts w:ascii="Times New Roman" w:cs="Times New Roman" w:eastAsia="Times New Roman" w:hAnsi="Times New Roman"/>
          <w:sz w:val="24"/>
          <w:szCs w:val="24"/>
          <w:color w:val="auto"/>
        </w:rPr>
        <w:t>Koleksiyona eklenmeyen bilgi kaynakları bağış yapan kişiye tekrar iade edilebilir, diğer üniversite kütüphanelerine hibe edilebilir.</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pacing w:after="0" w:line="2"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4" w:name="page5"/>
    <w:bookmarkEnd w:id="4"/>
    <w:p>
      <w:pPr>
        <w:spacing w:after="0" w:line="70" w:lineRule="exact"/>
        <w:rPr>
          <w:sz w:val="20"/>
          <w:szCs w:val="20"/>
          <w:color w:val="auto"/>
        </w:rPr>
      </w:pPr>
    </w:p>
    <w:p>
      <w:pPr>
        <w:ind w:left="1120" w:hanging="417"/>
        <w:spacing w:after="0" w:line="243" w:lineRule="auto"/>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Genel esaslar doğrultusunda, diğer üniversiteler ve/veya kurumlar ile Üniversitemiz arasında yayın değişimi yapılabilir ve/veya bağış olarak alınabilir.</w:t>
      </w:r>
    </w:p>
    <w:p>
      <w:pPr>
        <w:spacing w:after="0" w:line="1" w:lineRule="exact"/>
        <w:rPr>
          <w:rFonts w:ascii="Times New Roman" w:cs="Times New Roman" w:eastAsia="Times New Roman" w:hAnsi="Times New Roman"/>
          <w:sz w:val="24"/>
          <w:szCs w:val="24"/>
          <w:color w:val="auto"/>
        </w:rPr>
      </w:pPr>
    </w:p>
    <w:p>
      <w:pPr>
        <w:jc w:val="both"/>
        <w:ind w:left="1120" w:hanging="417"/>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Yazarların/emeği geçenlerin yayınları ile bireylerin sahip oldukları bilgi kaynakları (kitap, dergi, cd, dvd vb.) yukarıdaki esaslar doğrultusunda, Kütüphaneye bağış olarak kabul veya red edilebilir.</w:t>
      </w:r>
    </w:p>
    <w:p>
      <w:pPr>
        <w:jc w:val="both"/>
        <w:ind w:left="1120" w:hanging="417"/>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Değişim/bağış yapılmak istenen kaynakların bir listesinin, Kütüphane Müdürlüğü’ne iletilerek ön görüş istenmesi tercih edilir. Bu liste üzerinden </w:t>
      </w:r>
      <w:r>
        <w:rPr>
          <w:rFonts w:ascii="Times New Roman" w:cs="Times New Roman" w:eastAsia="Times New Roman" w:hAnsi="Times New Roman"/>
          <w:sz w:val="24"/>
          <w:szCs w:val="24"/>
          <w:i w:val="1"/>
          <w:iCs w:val="1"/>
          <w:color w:val="auto"/>
        </w:rPr>
        <w:t>“Koleksiyon Geli</w:t>
      </w:r>
      <w:r>
        <w:rPr>
          <w:rFonts w:ascii="Times New Roman" w:cs="Times New Roman" w:eastAsia="Times New Roman" w:hAnsi="Times New Roman"/>
          <w:sz w:val="24"/>
          <w:szCs w:val="24"/>
          <w:i w:val="1"/>
          <w:iCs w:val="1"/>
          <w:color w:val="auto"/>
        </w:rPr>
        <w:t>ş</w:t>
      </w:r>
      <w:r>
        <w:rPr>
          <w:rFonts w:ascii="Times New Roman" w:cs="Times New Roman" w:eastAsia="Times New Roman" w:hAnsi="Times New Roman"/>
          <w:sz w:val="24"/>
          <w:szCs w:val="24"/>
          <w:i w:val="1"/>
          <w:iCs w:val="1"/>
          <w:color w:val="auto"/>
        </w:rPr>
        <w:t>tirme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Politikas</w:t>
      </w:r>
      <w:r>
        <w:rPr>
          <w:rFonts w:ascii="Times New Roman" w:cs="Times New Roman" w:eastAsia="Times New Roman" w:hAnsi="Times New Roman"/>
          <w:sz w:val="24"/>
          <w:szCs w:val="24"/>
          <w:i w:val="1"/>
          <w:iCs w:val="1"/>
          <w:color w:val="auto"/>
        </w:rPr>
        <w:t>ı</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i w:val="1"/>
          <w:iCs w:val="1"/>
          <w:color w:val="auto"/>
        </w:rPr>
        <w:t>İ</w:t>
      </w:r>
      <w:r>
        <w:rPr>
          <w:rFonts w:ascii="Times New Roman" w:cs="Times New Roman" w:eastAsia="Times New Roman" w:hAnsi="Times New Roman"/>
          <w:sz w:val="24"/>
          <w:szCs w:val="24"/>
          <w:i w:val="1"/>
          <w:iCs w:val="1"/>
          <w:color w:val="auto"/>
        </w:rPr>
        <w:t xml:space="preserve">lkeleri” </w:t>
      </w:r>
      <w:r>
        <w:rPr>
          <w:rFonts w:ascii="Times New Roman" w:cs="Times New Roman" w:eastAsia="Times New Roman" w:hAnsi="Times New Roman"/>
          <w:sz w:val="24"/>
          <w:szCs w:val="24"/>
          <w:color w:val="auto"/>
        </w:rPr>
        <w:t>ne uyanların kabulü hususunda uzman kütüphanecinin (gerektiğinde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ilgili akademik birimden bir akademisyenden görüş alınabilir.) görüşü ve/veya Kütüphane Müdürü’nün onayı ile alınacak kaynaklar seçilerek ilgili bireylere/kurumlara bildirilir.</w:t>
      </w:r>
    </w:p>
    <w:p>
      <w:pPr>
        <w:ind w:left="1120" w:hanging="417"/>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Bağışlanan kaynakların iç kapağına, bağış yapan kişi/kurum adı </w:t>
      </w:r>
      <w:r>
        <w:rPr>
          <w:rFonts w:ascii="Times New Roman" w:cs="Times New Roman" w:eastAsia="Times New Roman" w:hAnsi="Times New Roman"/>
          <w:sz w:val="24"/>
          <w:szCs w:val="24"/>
          <w:b w:val="1"/>
          <w:bCs w:val="1"/>
          <w:i w:val="1"/>
          <w:iCs w:val="1"/>
          <w:color w:val="auto"/>
        </w:rPr>
        <w:t>“…………… taraf</w:t>
      </w:r>
      <w:r>
        <w:rPr>
          <w:rFonts w:ascii="Times New Roman" w:cs="Times New Roman" w:eastAsia="Times New Roman" w:hAnsi="Times New Roman"/>
          <w:sz w:val="24"/>
          <w:szCs w:val="24"/>
          <w:b w:val="1"/>
          <w:bCs w:val="1"/>
          <w:i w:val="1"/>
          <w:iCs w:val="1"/>
          <w:color w:val="auto"/>
        </w:rPr>
        <w:t>ı</w:t>
      </w:r>
      <w:r>
        <w:rPr>
          <w:rFonts w:ascii="Times New Roman" w:cs="Times New Roman" w:eastAsia="Times New Roman" w:hAnsi="Times New Roman"/>
          <w:sz w:val="24"/>
          <w:szCs w:val="24"/>
          <w:b w:val="1"/>
          <w:bCs w:val="1"/>
          <w:i w:val="1"/>
          <w:iCs w:val="1"/>
          <w:color w:val="auto"/>
        </w:rPr>
        <w:t>ndan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ba</w:t>
      </w:r>
      <w:r>
        <w:rPr>
          <w:rFonts w:ascii="Times New Roman" w:cs="Times New Roman" w:eastAsia="Times New Roman" w:hAnsi="Times New Roman"/>
          <w:sz w:val="24"/>
          <w:szCs w:val="24"/>
          <w:b w:val="1"/>
          <w:bCs w:val="1"/>
          <w:i w:val="1"/>
          <w:iCs w:val="1"/>
          <w:color w:val="auto"/>
        </w:rPr>
        <w:t>ğış</w:t>
      </w:r>
      <w:r>
        <w:rPr>
          <w:rFonts w:ascii="Times New Roman" w:cs="Times New Roman" w:eastAsia="Times New Roman" w:hAnsi="Times New Roman"/>
          <w:sz w:val="24"/>
          <w:szCs w:val="24"/>
          <w:b w:val="1"/>
          <w:bCs w:val="1"/>
          <w:i w:val="1"/>
          <w:iCs w:val="1"/>
          <w:color w:val="auto"/>
        </w:rPr>
        <w:t>lanm</w:t>
      </w:r>
      <w:r>
        <w:rPr>
          <w:rFonts w:ascii="Times New Roman" w:cs="Times New Roman" w:eastAsia="Times New Roman" w:hAnsi="Times New Roman"/>
          <w:sz w:val="24"/>
          <w:szCs w:val="24"/>
          <w:b w:val="1"/>
          <w:bCs w:val="1"/>
          <w:i w:val="1"/>
          <w:iCs w:val="1"/>
          <w:color w:val="auto"/>
        </w:rPr>
        <w:t>ış</w:t>
      </w:r>
      <w:r>
        <w:rPr>
          <w:rFonts w:ascii="Times New Roman" w:cs="Times New Roman" w:eastAsia="Times New Roman" w:hAnsi="Times New Roman"/>
          <w:sz w:val="24"/>
          <w:szCs w:val="24"/>
          <w:b w:val="1"/>
          <w:bCs w:val="1"/>
          <w:i w:val="1"/>
          <w:iCs w:val="1"/>
          <w:color w:val="auto"/>
        </w:rPr>
        <w:t>t</w:t>
      </w:r>
      <w:r>
        <w:rPr>
          <w:rFonts w:ascii="Times New Roman" w:cs="Times New Roman" w:eastAsia="Times New Roman" w:hAnsi="Times New Roman"/>
          <w:sz w:val="24"/>
          <w:szCs w:val="24"/>
          <w:b w:val="1"/>
          <w:bCs w:val="1"/>
          <w:i w:val="1"/>
          <w:iCs w:val="1"/>
          <w:color w:val="auto"/>
        </w:rPr>
        <w:t>ı</w:t>
      </w:r>
      <w:r>
        <w:rPr>
          <w:rFonts w:ascii="Times New Roman" w:cs="Times New Roman" w:eastAsia="Times New Roman" w:hAnsi="Times New Roman"/>
          <w:sz w:val="24"/>
          <w:szCs w:val="24"/>
          <w:b w:val="1"/>
          <w:bCs w:val="1"/>
          <w:i w:val="1"/>
          <w:iCs w:val="1"/>
          <w:color w:val="auto"/>
        </w:rPr>
        <w:t xml:space="preserve">r” </w:t>
      </w:r>
      <w:r>
        <w:rPr>
          <w:rFonts w:ascii="Times New Roman" w:cs="Times New Roman" w:eastAsia="Times New Roman" w:hAnsi="Times New Roman"/>
          <w:sz w:val="24"/>
          <w:szCs w:val="24"/>
          <w:color w:val="auto"/>
        </w:rPr>
        <w:t>damgası basılarak belirtilir.</w:t>
      </w:r>
    </w:p>
    <w:p>
      <w:pPr>
        <w:jc w:val="both"/>
        <w:ind w:left="1120" w:hanging="417"/>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koleksiyonu için uygun olan bilgi kaynakları, diğer bilgi kaynakları için yapılan işlemlere tabi tutulur ve koleksiyona eklenir. Bağış yapan kişiye veya kuruma Üniversitemiz adına teşekkür mektubu gönderilir.</w:t>
      </w:r>
    </w:p>
    <w:p>
      <w:pPr>
        <w:spacing w:after="0" w:line="1" w:lineRule="exact"/>
        <w:rPr>
          <w:rFonts w:ascii="Times New Roman" w:cs="Times New Roman" w:eastAsia="Times New Roman" w:hAnsi="Times New Roman"/>
          <w:sz w:val="24"/>
          <w:szCs w:val="24"/>
          <w:color w:val="auto"/>
        </w:rPr>
      </w:pPr>
    </w:p>
    <w:p>
      <w:pPr>
        <w:ind w:left="1180" w:hanging="466"/>
        <w:spacing w:after="0" w:line="237" w:lineRule="auto"/>
        <w:tabs>
          <w:tab w:leader="none" w:pos="1180" w:val="left"/>
        </w:tabs>
        <w:numPr>
          <w:ilvl w:val="1"/>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Koleksiyona alınmayacak nitelikteki bilgi kaynaklarına ilişkin esaslar:</w:t>
      </w:r>
    </w:p>
    <w:p>
      <w:pPr>
        <w:spacing w:after="0" w:line="1" w:lineRule="exact"/>
        <w:rPr>
          <w:sz w:val="20"/>
          <w:szCs w:val="20"/>
          <w:color w:val="auto"/>
        </w:rPr>
      </w:pPr>
    </w:p>
    <w:p>
      <w:pPr>
        <w:ind w:left="1120" w:hanging="417"/>
        <w:spacing w:after="0"/>
        <w:tabs>
          <w:tab w:leader="none" w:pos="11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Aşağıda sayılan nitelikteki kaynaklar, bir üniversite kütüphanesinin koleksiyonunda bulunmasının uygun olmaması nedeniyle değişim/bağış için kabul edilmez:</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Yargı kararı ile yasaklanmış olanlar,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Konu ve dil açısından Üniversite’nin düzeyine uymayanlar,</w:t>
      </w:r>
    </w:p>
    <w:p>
      <w:pPr>
        <w:ind w:left="1560" w:hanging="432"/>
        <w:spacing w:after="0"/>
        <w:tabs>
          <w:tab w:leader="none" w:pos="1560" w:val="left"/>
        </w:tabs>
        <w:numPr>
          <w:ilvl w:val="1"/>
          <w:numId w:val="1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El yazması ve nadir basma eser niteliği olanlar dışında, güncelliğini yitirmiş olanlar,</w:t>
      </w:r>
    </w:p>
    <w:p>
      <w:pPr>
        <w:spacing w:after="0" w:line="11" w:lineRule="exact"/>
        <w:rPr>
          <w:rFonts w:ascii="Times New Roman" w:cs="Times New Roman" w:eastAsia="Times New Roman" w:hAnsi="Times New Roman"/>
          <w:sz w:val="23"/>
          <w:szCs w:val="23"/>
          <w:color w:val="auto"/>
        </w:rPr>
      </w:pP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Kopya ile çoğaltılmış (fotokopi vb.) ve/veya telif hakkı sorunu yaratacak olanlar,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Kitap bölümü ve dergilere ait makalelerin ayrı baskıları,</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Gazeteler,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Devamlılığı olmayan ve basımı durmuş süreli yayınlar,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Cilt bütünlüğü sağlanamayan dergi, ansiklopedi vb. çok ciltli eserler,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Fiziksel durumu uygun olmayan ve yıpranmış olanlar,</w:t>
      </w:r>
    </w:p>
    <w:p>
      <w:pPr>
        <w:ind w:left="1560" w:hanging="432"/>
        <w:spacing w:after="0"/>
        <w:tabs>
          <w:tab w:leader="none" w:pos="156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koleksiyonunda mevcut olanlar (çok kullanılan yayınlar alınabilir).</w:t>
      </w:r>
    </w:p>
    <w:p>
      <w:pPr>
        <w:jc w:val="both"/>
        <w:ind w:left="1120" w:hanging="417"/>
        <w:spacing w:after="0"/>
        <w:tabs>
          <w:tab w:leader="none" w:pos="11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Değişimle ve/veya bağış olarak alınmış, ancak yukarıda sayılan nedenlerle koleksiyona dâhil edilmesi uygun görülmeyen kaynaklar, gereksinim duyan başka kütüphanelere bağışlanabilir.</w:t>
      </w:r>
    </w:p>
    <w:p>
      <w:pPr>
        <w:ind w:left="1120" w:hanging="417"/>
        <w:spacing w:after="0" w:line="271" w:lineRule="auto"/>
        <w:tabs>
          <w:tab w:leader="none" w:pos="11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Bağışlanacak kaynaklar, gönderilecek kütüphanelerin türleri dikkate alınarak amaç ve gereksinimlerine göre seçilir.</w:t>
      </w:r>
    </w:p>
    <w:p>
      <w:pPr>
        <w:spacing w:after="0" w:line="195"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Üyelik ve Kütüphanelerden Yararlanma</w:t>
      </w:r>
    </w:p>
    <w:p>
      <w:pPr>
        <w:jc w:val="both"/>
        <w:ind w:firstLine="709"/>
        <w:spacing w:after="0"/>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Türk Hava Kurumu Üniversitesi mensupları Kütüphanenin doğal üyesidirler.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Kütüphaneden ödünç materyal alabilmek için Üniversite kimlik kartını ibraz ederek “Kütüphane Kayıt Formu” nu doldurarak kütüphaneye kayıt olmak gereklidir. Üniversite dışından gelen kullanıcılar Kütüphane materyalini kütüphane içerisinde kullanabilirler ve Kütüphanelerarası işbirliği kuralları çerçevesinde ödünç alabilirler. Herhangi bir anlaşmazlık durumunda Kütüphane kayıtları geçerlidir.</w:t>
      </w:r>
    </w:p>
    <w:p>
      <w:pPr>
        <w:jc w:val="both"/>
        <w:ind w:left="1120" w:hanging="417"/>
        <w:spacing w:after="0"/>
        <w:tabs>
          <w:tab w:leader="none" w:pos="11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Reserve edilmiş yayınlar, işlemi tamamlanmamış materyaller, tezler, ciltlenmemiş dergiler, sözlük-ansiklopedi gibi danışma kaynakları, nadir ve özel değere sahip materyaller ödünç verilmez.</w:t>
      </w:r>
    </w:p>
    <w:p>
      <w:pPr>
        <w:ind w:left="1120" w:hanging="417"/>
        <w:spacing w:after="0" w:line="271" w:lineRule="auto"/>
        <w:tabs>
          <w:tab w:leader="none" w:pos="11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verilmeyen materyallerden kütüphane içerisinde fotokopi ve diğer çoğaltma hizmetlerinden ücreti karsılığında yararlanılabilir.</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w:t>
      </w:r>
    </w:p>
    <w:p>
      <w:pPr>
        <w:spacing w:after="0" w:line="10"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5" w:name="page6"/>
    <w:bookmarkEnd w:id="5"/>
    <w:p>
      <w:pPr>
        <w:spacing w:after="0" w:line="70" w:lineRule="exact"/>
        <w:rPr>
          <w:sz w:val="20"/>
          <w:szCs w:val="20"/>
          <w:color w:val="auto"/>
        </w:rPr>
      </w:pPr>
    </w:p>
    <w:p>
      <w:pPr>
        <w:jc w:val="both"/>
        <w:ind w:left="1120" w:hanging="417"/>
        <w:spacing w:after="0" w:line="242" w:lineRule="auto"/>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materyal alırken üyeler Türk Hava Kurumu Üniversitesi kimlik kartını göstermek zorundadır. Kimlik kartı olmayan kişilere materyal ödünç verilmez. Başkasının kimlik kartıyla materyal ödünç alınamaz.</w:t>
      </w:r>
    </w:p>
    <w:p>
      <w:pPr>
        <w:spacing w:after="0" w:line="1" w:lineRule="exact"/>
        <w:rPr>
          <w:rFonts w:ascii="Times New Roman" w:cs="Times New Roman" w:eastAsia="Times New Roman" w:hAnsi="Times New Roman"/>
          <w:sz w:val="24"/>
          <w:szCs w:val="24"/>
          <w:color w:val="auto"/>
        </w:rPr>
      </w:pPr>
    </w:p>
    <w:p>
      <w:pPr>
        <w:jc w:val="both"/>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verme, belirli bir süre içindir. Ödünç verilen materyal, son iade tarihine kadar iade edilir. Son iade tarihi aşılmamış ise ve materyal başkası tarafından ayırtılmamış ise iki defaya mahsus olmak üzere materyallerin süresi uzatılabilir.</w:t>
      </w:r>
    </w:p>
    <w:p>
      <w:pPr>
        <w:jc w:val="both"/>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Yönetimi gerekli gördüğü hallerde, son iade tarihini beklemeksizin ödünç verilen materyali geri isteme hakkına sahiptir. Geri istenen materyalin en geç üç gün içerisinde Kütüphaneye iade edilmesi gerekir.</w:t>
      </w:r>
    </w:p>
    <w:p>
      <w:pPr>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verilen materyalin, Kütüphaneye teslim tarihine kadar her türlü sorumluluğu, ödünç alana aittir.</w:t>
      </w:r>
    </w:p>
    <w:p>
      <w:pPr>
        <w:jc w:val="both"/>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İade edilen materyalin aynı kullanıcı tarafından; ek süreyi de kullanmasının ardından tekrar ödünç alınabilmesi için, iade tarihinden itibaren en az iki iş günü geçmesinden sonra mümkündür.</w:t>
      </w:r>
    </w:p>
    <w:p>
      <w:pPr>
        <w:ind w:left="1120" w:hanging="417"/>
        <w:spacing w:after="0" w:line="239" w:lineRule="auto"/>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Üzerinde gecikmiş materyal bulunan okuyucular, bunları iade etmeden ve gecikme cezalarını ödemeden ödünç materyal alamaz.</w:t>
      </w:r>
    </w:p>
    <w:p>
      <w:pPr>
        <w:spacing w:after="0" w:line="1" w:lineRule="exact"/>
        <w:rPr>
          <w:rFonts w:ascii="Times New Roman" w:cs="Times New Roman" w:eastAsia="Times New Roman" w:hAnsi="Times New Roman"/>
          <w:sz w:val="24"/>
          <w:szCs w:val="24"/>
          <w:color w:val="auto"/>
        </w:rPr>
      </w:pPr>
    </w:p>
    <w:p>
      <w:pPr>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İade tarihi gecikmiş materyaller kütüphane dışına çıkarılamaz.</w:t>
      </w:r>
    </w:p>
    <w:p>
      <w:pPr>
        <w:jc w:val="both"/>
        <w:ind w:left="1120" w:hanging="417"/>
        <w:spacing w:after="0"/>
        <w:tabs>
          <w:tab w:leader="none" w:pos="11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Herhangi bir nedenle Üniversiteden ayrılacak olan Kütüphaneye kayıtlı kullanıcı kütüphane kaydının iptalini gerçekleştirmelidir. Kütüphaneye iade edilmemiş kitap veya borcu olan kullanıcıya ilişik kesme belgesi verilmez.</w:t>
      </w:r>
    </w:p>
    <w:p>
      <w:pPr>
        <w:ind w:left="1120" w:hanging="417"/>
        <w:spacing w:after="0"/>
        <w:tabs>
          <w:tab w:leader="none" w:pos="1120"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Reserve Materyaller; </w:t>
      </w:r>
      <w:r>
        <w:rPr>
          <w:rFonts w:ascii="Times New Roman" w:cs="Times New Roman" w:eastAsia="Times New Roman" w:hAnsi="Times New Roman"/>
          <w:sz w:val="23"/>
          <w:szCs w:val="23"/>
          <w:color w:val="auto"/>
        </w:rPr>
        <w:t>okuyucular, kısa süreli ödünç verme biriminden, kitap ve dergiyi,</w:t>
      </w:r>
    </w:p>
    <w:p>
      <w:pPr>
        <w:spacing w:after="0" w:line="1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kaynağın özelliğine ve belirlenen ödünç verme süresìne göre "A" tipi saatlik, "B" tipi 1 gecelik ödünç alabilirler.</w:t>
      </w:r>
    </w:p>
    <w:p>
      <w:pPr>
        <w:jc w:val="both"/>
        <w:ind w:firstLine="720"/>
        <w:spacing w:after="0"/>
        <w:rPr>
          <w:sz w:val="20"/>
          <w:szCs w:val="20"/>
          <w:color w:val="auto"/>
        </w:rPr>
      </w:pPr>
      <w:r>
        <w:rPr>
          <w:rFonts w:ascii="Times New Roman" w:cs="Times New Roman" w:eastAsia="Times New Roman" w:hAnsi="Times New Roman"/>
          <w:sz w:val="24"/>
          <w:szCs w:val="24"/>
          <w:b w:val="1"/>
          <w:bCs w:val="1"/>
          <w:color w:val="auto"/>
        </w:rPr>
        <w:t xml:space="preserve">A tipi (Saatlik): </w:t>
      </w:r>
      <w:r>
        <w:rPr>
          <w:rFonts w:ascii="Times New Roman" w:cs="Times New Roman" w:eastAsia="Times New Roman" w:hAnsi="Times New Roman"/>
          <w:sz w:val="24"/>
          <w:szCs w:val="24"/>
          <w:color w:val="auto"/>
        </w:rPr>
        <w:t>Kütüphaneye kayıtlı okuyuculara, bir reserve materyal, iki saat süreyle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ödünç verilir. Materyale başka bir okuyucu gerek duymazsa, okuyucudan gelen istek üzerine, süresi iki saat daha uzatılır.</w:t>
      </w:r>
    </w:p>
    <w:p>
      <w:pPr>
        <w:jc w:val="both"/>
        <w:ind w:firstLine="720"/>
        <w:spacing w:after="0"/>
        <w:rPr>
          <w:sz w:val="20"/>
          <w:szCs w:val="20"/>
          <w:color w:val="auto"/>
        </w:rPr>
      </w:pPr>
      <w:r>
        <w:rPr>
          <w:rFonts w:ascii="Times New Roman" w:cs="Times New Roman" w:eastAsia="Times New Roman" w:hAnsi="Times New Roman"/>
          <w:sz w:val="24"/>
          <w:szCs w:val="24"/>
          <w:b w:val="1"/>
          <w:bCs w:val="1"/>
          <w:color w:val="auto"/>
        </w:rPr>
        <w:t>B tipi (Gecelik)</w:t>
      </w:r>
      <w:r>
        <w:rPr>
          <w:rFonts w:ascii="Times New Roman" w:cs="Times New Roman" w:eastAsia="Times New Roman" w:hAnsi="Times New Roman"/>
          <w:sz w:val="24"/>
          <w:szCs w:val="24"/>
          <w:color w:val="auto"/>
        </w:rPr>
        <w:t>: Birden fazla olan reserve materyallerin bir adedi kütüphanede kalmak üzere,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kopyaları akşam saat 16.00’dan ertesi sabah saat 10.00'a kadar ödünç verilir.</w:t>
      </w:r>
    </w:p>
    <w:p>
      <w:pPr>
        <w:jc w:val="both"/>
        <w:spacing w:after="0"/>
        <w:rPr>
          <w:sz w:val="20"/>
          <w:szCs w:val="20"/>
          <w:color w:val="auto"/>
        </w:rPr>
      </w:pPr>
      <w:r>
        <w:rPr>
          <w:rFonts w:ascii="Times New Roman" w:cs="Times New Roman" w:eastAsia="Times New Roman" w:hAnsi="Times New Roman"/>
          <w:sz w:val="24"/>
          <w:szCs w:val="24"/>
          <w:color w:val="auto"/>
        </w:rPr>
        <w:t>Geciktirilen her reserve materyal için, saatlik gecikme ücreti, normal materyal günlük geciktirme ücretinin iki katı olarak alınır.</w:t>
      </w:r>
    </w:p>
    <w:p>
      <w:pPr>
        <w:jc w:val="both"/>
        <w:spacing w:after="0"/>
        <w:rPr>
          <w:sz w:val="20"/>
          <w:szCs w:val="20"/>
          <w:color w:val="auto"/>
        </w:rPr>
      </w:pPr>
      <w:r>
        <w:rPr>
          <w:rFonts w:ascii="Times New Roman" w:cs="Times New Roman" w:eastAsia="Times New Roman" w:hAnsi="Times New Roman"/>
          <w:sz w:val="24"/>
          <w:szCs w:val="24"/>
          <w:color w:val="auto"/>
        </w:rPr>
        <w:t>Gecelik alınan reserve materyali iki kere geciktiren kişi, bir daha kütüphane dışına reserve materyal çıkaramaz.</w:t>
      </w:r>
    </w:p>
    <w:p>
      <w:pPr>
        <w:ind w:left="1120" w:hanging="417"/>
        <w:spacing w:after="0" w:line="245" w:lineRule="auto"/>
        <w:tabs>
          <w:tab w:leader="none" w:pos="112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Materyalin çeşidine bağlı olarak kimlere hangi sürelerle ödünç verileceği ve bir kullanıcıya verilebilecek azami kaynak sayıları aşağıdaki tabloda verilmiştir.</w:t>
      </w:r>
    </w:p>
    <w:tbl>
      <w:tblPr>
        <w:tblLayout w:type="fixed"/>
        <w:tblInd w:w="0" w:type="dxa"/>
        <w:tblCellMar>
          <w:top w:w="0" w:type="dxa"/>
          <w:left w:w="0" w:type="dxa"/>
          <w:bottom w:w="0" w:type="dxa"/>
          <w:right w:w="0" w:type="dxa"/>
        </w:tblCellMar>
      </w:tblPr>
      <w:tr>
        <w:trPr>
          <w:trHeight w:val="245"/>
        </w:trPr>
        <w:tc>
          <w:tcPr>
            <w:tcW w:w="2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shd w:val="clear" w:color="auto" w:fill="BFBFBF"/>
          </w:tcPr>
          <w:p>
            <w:pPr>
              <w:spacing w:after="0"/>
              <w:rPr>
                <w:sz w:val="21"/>
                <w:szCs w:val="21"/>
                <w:color w:val="auto"/>
              </w:rPr>
            </w:pPr>
          </w:p>
        </w:tc>
        <w:tc>
          <w:tcPr>
            <w:tcW w:w="1540" w:type="dxa"/>
            <w:vAlign w:val="bottom"/>
            <w:tcBorders>
              <w:top w:val="single" w:sz="8" w:color="auto"/>
            </w:tcBorders>
            <w:shd w:val="clear" w:color="auto" w:fill="BFBFBF"/>
          </w:tcPr>
          <w:p>
            <w:pPr>
              <w:spacing w:after="0"/>
              <w:rPr>
                <w:sz w:val="21"/>
                <w:szCs w:val="21"/>
                <w:color w:val="auto"/>
              </w:rPr>
            </w:pPr>
          </w:p>
        </w:tc>
        <w:tc>
          <w:tcPr>
            <w:tcW w:w="100" w:type="dxa"/>
            <w:vAlign w:val="bottom"/>
            <w:tcBorders>
              <w:top w:val="single" w:sz="8" w:color="auto"/>
            </w:tcBorders>
            <w:shd w:val="clear" w:color="auto" w:fill="BFBFBF"/>
          </w:tcPr>
          <w:p>
            <w:pPr>
              <w:spacing w:after="0"/>
              <w:rPr>
                <w:sz w:val="21"/>
                <w:szCs w:val="21"/>
                <w:color w:val="auto"/>
              </w:rPr>
            </w:pPr>
          </w:p>
        </w:tc>
        <w:tc>
          <w:tcPr>
            <w:tcW w:w="100" w:type="dxa"/>
            <w:vAlign w:val="bottom"/>
            <w:tcBorders>
              <w:top w:val="single" w:sz="8" w:color="auto"/>
            </w:tcBorders>
            <w:shd w:val="clear" w:color="auto" w:fill="BFBFBF"/>
          </w:tcPr>
          <w:p>
            <w:pPr>
              <w:spacing w:after="0"/>
              <w:rPr>
                <w:sz w:val="21"/>
                <w:szCs w:val="21"/>
                <w:color w:val="auto"/>
              </w:rPr>
            </w:pPr>
          </w:p>
        </w:tc>
        <w:tc>
          <w:tcPr>
            <w:tcW w:w="500" w:type="dxa"/>
            <w:vAlign w:val="bottom"/>
            <w:tcBorders>
              <w:top w:val="single" w:sz="8" w:color="auto"/>
            </w:tcBorders>
            <w:shd w:val="clear" w:color="auto" w:fill="BFBFBF"/>
          </w:tcPr>
          <w:p>
            <w:pPr>
              <w:spacing w:after="0"/>
              <w:rPr>
                <w:sz w:val="21"/>
                <w:szCs w:val="21"/>
                <w:color w:val="auto"/>
              </w:rPr>
            </w:pPr>
          </w:p>
        </w:tc>
        <w:tc>
          <w:tcPr>
            <w:tcW w:w="1260" w:type="dxa"/>
            <w:vAlign w:val="bottom"/>
            <w:tcBorders>
              <w:top w:val="single" w:sz="8" w:color="auto"/>
            </w:tcBorders>
            <w:gridSpan w:val="3"/>
            <w:vMerge w:val="restart"/>
            <w:shd w:val="clear" w:color="auto" w:fill="BFBFBF"/>
          </w:tcPr>
          <w:p>
            <w:pPr>
              <w:ind w:left="80"/>
              <w:spacing w:after="0"/>
              <w:rPr>
                <w:sz w:val="20"/>
                <w:szCs w:val="20"/>
                <w:color w:val="auto"/>
              </w:rPr>
            </w:pPr>
            <w:r>
              <w:rPr>
                <w:rFonts w:ascii="Times New Roman" w:cs="Times New Roman" w:eastAsia="Times New Roman" w:hAnsi="Times New Roman"/>
                <w:sz w:val="24"/>
                <w:szCs w:val="24"/>
                <w:b w:val="1"/>
                <w:bCs w:val="1"/>
                <w:color w:val="auto"/>
              </w:rPr>
              <w:t>Kitap</w:t>
            </w:r>
          </w:p>
        </w:tc>
        <w:tc>
          <w:tcPr>
            <w:tcW w:w="100" w:type="dxa"/>
            <w:vAlign w:val="bottom"/>
            <w:tcBorders>
              <w:top w:val="single" w:sz="8" w:color="auto"/>
            </w:tcBorders>
            <w:shd w:val="clear" w:color="auto" w:fill="BFBFBF"/>
          </w:tcPr>
          <w:p>
            <w:pPr>
              <w:spacing w:after="0"/>
              <w:rPr>
                <w:sz w:val="21"/>
                <w:szCs w:val="21"/>
                <w:color w:val="auto"/>
              </w:rPr>
            </w:pPr>
          </w:p>
        </w:tc>
        <w:tc>
          <w:tcPr>
            <w:tcW w:w="120" w:type="dxa"/>
            <w:vAlign w:val="bottom"/>
            <w:tcBorders>
              <w:top w:val="single" w:sz="8" w:color="auto"/>
            </w:tcBorders>
            <w:shd w:val="clear" w:color="auto" w:fill="BFBFBF"/>
          </w:tcPr>
          <w:p>
            <w:pPr>
              <w:spacing w:after="0"/>
              <w:rPr>
                <w:sz w:val="21"/>
                <w:szCs w:val="21"/>
                <w:color w:val="auto"/>
              </w:rPr>
            </w:pPr>
          </w:p>
        </w:tc>
        <w:tc>
          <w:tcPr>
            <w:tcW w:w="1740" w:type="dxa"/>
            <w:vAlign w:val="bottom"/>
            <w:tcBorders>
              <w:top w:val="single" w:sz="8" w:color="auto"/>
            </w:tcBorders>
            <w:gridSpan w:val="4"/>
            <w:vMerge w:val="restart"/>
            <w:shd w:val="clear" w:color="auto" w:fill="BFBFBF"/>
          </w:tcPr>
          <w:p>
            <w:pPr>
              <w:ind w:left="280"/>
              <w:spacing w:after="0"/>
              <w:rPr>
                <w:sz w:val="20"/>
                <w:szCs w:val="20"/>
                <w:color w:val="auto"/>
              </w:rPr>
            </w:pPr>
            <w:r>
              <w:rPr>
                <w:rFonts w:ascii="Times New Roman" w:cs="Times New Roman" w:eastAsia="Times New Roman" w:hAnsi="Times New Roman"/>
                <w:sz w:val="24"/>
                <w:szCs w:val="24"/>
                <w:b w:val="1"/>
                <w:bCs w:val="1"/>
                <w:color w:val="auto"/>
              </w:rPr>
              <w:t>Ciltli Dergi</w:t>
            </w:r>
          </w:p>
        </w:tc>
        <w:tc>
          <w:tcPr>
            <w:tcW w:w="100" w:type="dxa"/>
            <w:vAlign w:val="bottom"/>
            <w:tcBorders>
              <w:top w:val="single" w:sz="8" w:color="auto"/>
            </w:tcBorders>
            <w:shd w:val="clear" w:color="auto" w:fill="BFBFBF"/>
          </w:tcPr>
          <w:p>
            <w:pPr>
              <w:spacing w:after="0"/>
              <w:rPr>
                <w:sz w:val="21"/>
                <w:szCs w:val="21"/>
                <w:color w:val="auto"/>
              </w:rPr>
            </w:pPr>
          </w:p>
        </w:tc>
        <w:tc>
          <w:tcPr>
            <w:tcW w:w="2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shd w:val="clear" w:color="auto" w:fill="BFBFBF"/>
          </w:tcPr>
          <w:p>
            <w:pPr>
              <w:spacing w:after="0"/>
              <w:rPr>
                <w:sz w:val="21"/>
                <w:szCs w:val="21"/>
                <w:color w:val="auto"/>
              </w:rPr>
            </w:pPr>
          </w:p>
        </w:tc>
        <w:tc>
          <w:tcPr>
            <w:tcW w:w="1740" w:type="dxa"/>
            <w:vAlign w:val="bottom"/>
            <w:tcBorders>
              <w:top w:val="single" w:sz="8" w:color="auto"/>
            </w:tcBorders>
            <w:gridSpan w:val="4"/>
            <w:vMerge w:val="restart"/>
            <w:shd w:val="clear" w:color="auto" w:fill="BFBFBF"/>
          </w:tcPr>
          <w:p>
            <w:pPr>
              <w:ind w:left="340"/>
              <w:spacing w:after="0"/>
              <w:rPr>
                <w:sz w:val="20"/>
                <w:szCs w:val="20"/>
                <w:color w:val="auto"/>
              </w:rPr>
            </w:pPr>
            <w:r>
              <w:rPr>
                <w:rFonts w:ascii="Times New Roman" w:cs="Times New Roman" w:eastAsia="Times New Roman" w:hAnsi="Times New Roman"/>
                <w:sz w:val="24"/>
                <w:szCs w:val="24"/>
                <w:b w:val="1"/>
                <w:bCs w:val="1"/>
                <w:color w:val="auto"/>
              </w:rPr>
              <w:t>CD - DVD</w:t>
            </w:r>
          </w:p>
        </w:tc>
        <w:tc>
          <w:tcPr>
            <w:tcW w:w="100" w:type="dxa"/>
            <w:vAlign w:val="bottom"/>
            <w:tcBorders>
              <w:top w:val="single" w:sz="8" w:color="auto"/>
            </w:tcBorders>
            <w:shd w:val="clear" w:color="auto" w:fill="BFBFBF"/>
          </w:tcPr>
          <w:p>
            <w:pPr>
              <w:spacing w:after="0"/>
              <w:rPr>
                <w:sz w:val="21"/>
                <w:szCs w:val="21"/>
                <w:color w:val="auto"/>
              </w:rPr>
            </w:pPr>
          </w:p>
        </w:tc>
        <w:tc>
          <w:tcPr>
            <w:tcW w:w="2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shd w:val="clear" w:color="auto" w:fill="BFBFBF"/>
          </w:tcPr>
          <w:p>
            <w:pPr>
              <w:spacing w:after="0"/>
              <w:rPr>
                <w:sz w:val="21"/>
                <w:szCs w:val="21"/>
                <w:color w:val="auto"/>
              </w:rPr>
            </w:pPr>
          </w:p>
        </w:tc>
        <w:tc>
          <w:tcPr>
            <w:tcW w:w="1840" w:type="dxa"/>
            <w:vAlign w:val="bottom"/>
            <w:tcBorders>
              <w:top w:val="single" w:sz="8" w:color="auto"/>
            </w:tcBorders>
            <w:gridSpan w:val="4"/>
            <w:shd w:val="clear" w:color="auto" w:fill="BFBFBF"/>
          </w:tcPr>
          <w:p>
            <w:pPr>
              <w:jc w:val="center"/>
              <w:spacing w:after="0" w:line="244" w:lineRule="exact"/>
              <w:rPr>
                <w:sz w:val="20"/>
                <w:szCs w:val="20"/>
                <w:color w:val="auto"/>
              </w:rPr>
            </w:pPr>
            <w:r>
              <w:rPr>
                <w:rFonts w:ascii="Times New Roman" w:cs="Times New Roman" w:eastAsia="Times New Roman" w:hAnsi="Times New Roman"/>
                <w:sz w:val="24"/>
                <w:szCs w:val="24"/>
                <w:b w:val="1"/>
                <w:bCs w:val="1"/>
                <w:color w:val="auto"/>
                <w:w w:val="99"/>
              </w:rPr>
              <w:t>Audio – Video</w:t>
            </w:r>
          </w:p>
        </w:tc>
        <w:tc>
          <w:tcPr>
            <w:tcW w:w="2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540" w:type="dxa"/>
            <w:vAlign w:val="bottom"/>
            <w:vMerge w:val="restart"/>
            <w:shd w:val="clear" w:color="auto" w:fill="BFBFBF"/>
          </w:tcPr>
          <w:p>
            <w:pPr>
              <w:ind w:left="320"/>
              <w:spacing w:after="0"/>
              <w:rPr>
                <w:sz w:val="20"/>
                <w:szCs w:val="20"/>
                <w:color w:val="auto"/>
              </w:rPr>
            </w:pPr>
            <w:r>
              <w:rPr>
                <w:rFonts w:ascii="Times New Roman" w:cs="Times New Roman" w:eastAsia="Times New Roman" w:hAnsi="Times New Roman"/>
                <w:sz w:val="24"/>
                <w:szCs w:val="24"/>
                <w:color w:val="auto"/>
              </w:rPr>
              <w:t>Kullanıcı</w:t>
            </w:r>
          </w:p>
        </w:tc>
        <w:tc>
          <w:tcPr>
            <w:tcW w:w="100" w:type="dxa"/>
            <w:vAlign w:val="bottom"/>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500" w:type="dxa"/>
            <w:vAlign w:val="bottom"/>
            <w:shd w:val="clear" w:color="auto" w:fill="BFBFBF"/>
          </w:tcPr>
          <w:p>
            <w:pPr>
              <w:spacing w:after="0"/>
              <w:rPr>
                <w:sz w:val="14"/>
                <w:szCs w:val="14"/>
                <w:color w:val="auto"/>
              </w:rPr>
            </w:pPr>
          </w:p>
        </w:tc>
        <w:tc>
          <w:tcPr>
            <w:tcW w:w="1260" w:type="dxa"/>
            <w:vAlign w:val="bottom"/>
            <w:gridSpan w:val="3"/>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20" w:type="dxa"/>
            <w:vAlign w:val="bottom"/>
            <w:shd w:val="clear" w:color="auto" w:fill="BFBFBF"/>
          </w:tcPr>
          <w:p>
            <w:pPr>
              <w:spacing w:after="0"/>
              <w:rPr>
                <w:sz w:val="14"/>
                <w:szCs w:val="14"/>
                <w:color w:val="auto"/>
              </w:rPr>
            </w:pPr>
          </w:p>
        </w:tc>
        <w:tc>
          <w:tcPr>
            <w:tcW w:w="1740" w:type="dxa"/>
            <w:vAlign w:val="bottom"/>
            <w:gridSpan w:val="4"/>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740" w:type="dxa"/>
            <w:vAlign w:val="bottom"/>
            <w:gridSpan w:val="4"/>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500" w:type="dxa"/>
            <w:vAlign w:val="bottom"/>
            <w:shd w:val="clear" w:color="auto" w:fill="BFBFBF"/>
          </w:tcPr>
          <w:p>
            <w:pPr>
              <w:spacing w:after="0"/>
              <w:rPr>
                <w:sz w:val="14"/>
                <w:szCs w:val="14"/>
                <w:color w:val="auto"/>
              </w:rPr>
            </w:pPr>
          </w:p>
        </w:tc>
        <w:tc>
          <w:tcPr>
            <w:tcW w:w="1340" w:type="dxa"/>
            <w:vAlign w:val="bottom"/>
            <w:gridSpan w:val="3"/>
            <w:vMerge w:val="restart"/>
            <w:shd w:val="clear" w:color="auto" w:fill="BFBFBF"/>
          </w:tcPr>
          <w:p>
            <w:pPr>
              <w:jc w:val="center"/>
              <w:ind w:right="480"/>
              <w:spacing w:after="0"/>
              <w:rPr>
                <w:sz w:val="20"/>
                <w:szCs w:val="20"/>
                <w:color w:val="auto"/>
              </w:rPr>
            </w:pPr>
            <w:r>
              <w:rPr>
                <w:rFonts w:ascii="Times New Roman" w:cs="Times New Roman" w:eastAsia="Times New Roman" w:hAnsi="Times New Roman"/>
                <w:sz w:val="24"/>
                <w:szCs w:val="24"/>
                <w:b w:val="1"/>
                <w:bCs w:val="1"/>
                <w:color w:val="auto"/>
                <w:w w:val="98"/>
              </w:rPr>
              <w:t>Kaset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100" w:type="dxa"/>
            <w:vAlign w:val="bottom"/>
            <w:tcBorders>
              <w:bottom w:val="single" w:sz="8" w:color="BFBFBF"/>
            </w:tcBorders>
            <w:shd w:val="clear" w:color="auto" w:fill="BFBFBF"/>
          </w:tcPr>
          <w:p>
            <w:pPr>
              <w:spacing w:after="0"/>
              <w:rPr>
                <w:sz w:val="12"/>
                <w:szCs w:val="12"/>
                <w:color w:val="auto"/>
              </w:rPr>
            </w:pPr>
          </w:p>
        </w:tc>
        <w:tc>
          <w:tcPr>
            <w:tcW w:w="1540" w:type="dxa"/>
            <w:vAlign w:val="bottom"/>
            <w:tcBorders>
              <w:bottom w:val="single" w:sz="8" w:color="BFBFBF"/>
            </w:tcBorders>
            <w:vMerge w:val="continue"/>
            <w:shd w:val="clear" w:color="auto" w:fill="BFBFBF"/>
          </w:tcPr>
          <w:p>
            <w:pPr>
              <w:spacing w:after="0"/>
              <w:rPr>
                <w:sz w:val="12"/>
                <w:szCs w:val="12"/>
                <w:color w:val="auto"/>
              </w:rPr>
            </w:pPr>
          </w:p>
        </w:tc>
        <w:tc>
          <w:tcPr>
            <w:tcW w:w="100" w:type="dxa"/>
            <w:vAlign w:val="bottom"/>
            <w:tcBorders>
              <w:bottom w:val="single" w:sz="8" w:color="BFBFBF"/>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500" w:type="dxa"/>
            <w:vAlign w:val="bottom"/>
            <w:tcBorders>
              <w:bottom w:val="single" w:sz="8" w:color="auto"/>
            </w:tcBorders>
            <w:shd w:val="clear" w:color="auto" w:fill="BFBFBF"/>
          </w:tcPr>
          <w:p>
            <w:pPr>
              <w:spacing w:after="0"/>
              <w:rPr>
                <w:sz w:val="12"/>
                <w:szCs w:val="12"/>
                <w:color w:val="auto"/>
              </w:rPr>
            </w:pPr>
          </w:p>
        </w:tc>
        <w:tc>
          <w:tcPr>
            <w:tcW w:w="24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92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120" w:type="dxa"/>
            <w:vAlign w:val="bottom"/>
            <w:tcBorders>
              <w:bottom w:val="single" w:sz="8" w:color="auto"/>
            </w:tcBorders>
            <w:shd w:val="clear" w:color="auto" w:fill="BFBFBF"/>
          </w:tcPr>
          <w:p>
            <w:pPr>
              <w:spacing w:after="0"/>
              <w:rPr>
                <w:sz w:val="12"/>
                <w:szCs w:val="12"/>
                <w:color w:val="auto"/>
              </w:rPr>
            </w:pPr>
          </w:p>
        </w:tc>
        <w:tc>
          <w:tcPr>
            <w:tcW w:w="72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shd w:val="clear" w:color="auto" w:fill="BFBFBF"/>
          </w:tcPr>
          <w:p>
            <w:pPr>
              <w:spacing w:after="0"/>
              <w:rPr>
                <w:sz w:val="12"/>
                <w:szCs w:val="12"/>
                <w:color w:val="auto"/>
              </w:rPr>
            </w:pPr>
          </w:p>
        </w:tc>
        <w:tc>
          <w:tcPr>
            <w:tcW w:w="90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72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shd w:val="clear" w:color="auto" w:fill="BFBFBF"/>
          </w:tcPr>
          <w:p>
            <w:pPr>
              <w:spacing w:after="0"/>
              <w:rPr>
                <w:sz w:val="12"/>
                <w:szCs w:val="12"/>
                <w:color w:val="auto"/>
              </w:rPr>
            </w:pPr>
          </w:p>
        </w:tc>
        <w:tc>
          <w:tcPr>
            <w:tcW w:w="90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500" w:type="dxa"/>
            <w:vAlign w:val="bottom"/>
            <w:tcBorders>
              <w:bottom w:val="single" w:sz="8" w:color="auto"/>
            </w:tcBorders>
            <w:shd w:val="clear" w:color="auto" w:fill="BFBFBF"/>
          </w:tcPr>
          <w:p>
            <w:pPr>
              <w:spacing w:after="0"/>
              <w:rPr>
                <w:sz w:val="12"/>
                <w:szCs w:val="12"/>
                <w:color w:val="auto"/>
              </w:rPr>
            </w:pPr>
          </w:p>
        </w:tc>
        <w:tc>
          <w:tcPr>
            <w:tcW w:w="1340" w:type="dxa"/>
            <w:vAlign w:val="bottom"/>
            <w:tcBorders>
              <w:bottom w:val="single" w:sz="8" w:color="auto"/>
            </w:tcBorders>
            <w:gridSpan w:val="3"/>
            <w:vMerge w:val="continue"/>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00" w:type="dxa"/>
            <w:vAlign w:val="bottom"/>
            <w:shd w:val="clear" w:color="auto" w:fill="BFBFBF"/>
          </w:tcPr>
          <w:p>
            <w:pPr>
              <w:spacing w:after="0"/>
              <w:rPr>
                <w:sz w:val="10"/>
                <w:szCs w:val="10"/>
                <w:color w:val="auto"/>
              </w:rPr>
            </w:pPr>
          </w:p>
        </w:tc>
        <w:tc>
          <w:tcPr>
            <w:tcW w:w="1540" w:type="dxa"/>
            <w:vAlign w:val="bottom"/>
            <w:vMerge w:val="continue"/>
            <w:shd w:val="clear" w:color="auto" w:fill="BFBFBF"/>
          </w:tcPr>
          <w:p>
            <w:pPr>
              <w:spacing w:after="0"/>
              <w:rPr>
                <w:sz w:val="10"/>
                <w:szCs w:val="10"/>
                <w:color w:val="auto"/>
              </w:rPr>
            </w:pPr>
          </w:p>
        </w:tc>
        <w:tc>
          <w:tcPr>
            <w:tcW w:w="100" w:type="dxa"/>
            <w:vAlign w:val="bottom"/>
            <w:shd w:val="clear" w:color="auto" w:fill="BFBFBF"/>
          </w:tcPr>
          <w:p>
            <w:pPr>
              <w:spacing w:after="0"/>
              <w:rPr>
                <w:sz w:val="10"/>
                <w:szCs w:val="10"/>
                <w:color w:val="auto"/>
              </w:rPr>
            </w:pPr>
          </w:p>
        </w:tc>
        <w:tc>
          <w:tcPr>
            <w:tcW w:w="100" w:type="dxa"/>
            <w:vAlign w:val="bottom"/>
            <w:shd w:val="clear" w:color="auto" w:fill="BFBFBF"/>
          </w:tcPr>
          <w:p>
            <w:pPr>
              <w:spacing w:after="0"/>
              <w:rPr>
                <w:sz w:val="10"/>
                <w:szCs w:val="10"/>
                <w:color w:val="auto"/>
              </w:rPr>
            </w:pPr>
          </w:p>
        </w:tc>
        <w:tc>
          <w:tcPr>
            <w:tcW w:w="74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rPr>
              <w:t>Adet</w:t>
            </w:r>
          </w:p>
        </w:tc>
        <w:tc>
          <w:tcPr>
            <w:tcW w:w="100" w:type="dxa"/>
            <w:vAlign w:val="bottom"/>
            <w:shd w:val="clear" w:color="auto" w:fill="BFBFBF"/>
          </w:tcPr>
          <w:p>
            <w:pPr>
              <w:spacing w:after="0"/>
              <w:rPr>
                <w:sz w:val="10"/>
                <w:szCs w:val="10"/>
                <w:color w:val="auto"/>
              </w:rPr>
            </w:pPr>
          </w:p>
        </w:tc>
        <w:tc>
          <w:tcPr>
            <w:tcW w:w="1020" w:type="dxa"/>
            <w:vAlign w:val="bottom"/>
            <w:gridSpan w:val="2"/>
            <w:vMerge w:val="restart"/>
            <w:shd w:val="clear" w:color="auto" w:fill="BFBFBF"/>
          </w:tcPr>
          <w:p>
            <w:pPr>
              <w:jc w:val="center"/>
              <w:spacing w:after="0" w:line="237" w:lineRule="exact"/>
              <w:rPr>
                <w:sz w:val="20"/>
                <w:szCs w:val="20"/>
                <w:color w:val="auto"/>
              </w:rPr>
            </w:pPr>
            <w:r>
              <w:rPr>
                <w:rFonts w:ascii="Times New Roman" w:cs="Times New Roman" w:eastAsia="Times New Roman" w:hAnsi="Times New Roman"/>
                <w:sz w:val="24"/>
                <w:szCs w:val="24"/>
                <w:b w:val="1"/>
                <w:bCs w:val="1"/>
                <w:color w:val="auto"/>
                <w:w w:val="99"/>
              </w:rPr>
              <w:t>Süre</w:t>
            </w:r>
          </w:p>
        </w:tc>
        <w:tc>
          <w:tcPr>
            <w:tcW w:w="120" w:type="dxa"/>
            <w:vAlign w:val="bottom"/>
            <w:shd w:val="clear" w:color="auto" w:fill="BFBFBF"/>
          </w:tcPr>
          <w:p>
            <w:pPr>
              <w:spacing w:after="0"/>
              <w:rPr>
                <w:sz w:val="10"/>
                <w:szCs w:val="10"/>
                <w:color w:val="auto"/>
              </w:rPr>
            </w:pPr>
          </w:p>
        </w:tc>
        <w:tc>
          <w:tcPr>
            <w:tcW w:w="720" w:type="dxa"/>
            <w:vAlign w:val="bottom"/>
            <w:vMerge w:val="restart"/>
            <w:shd w:val="clear" w:color="auto" w:fill="BFBFBF"/>
          </w:tcPr>
          <w:p>
            <w:pPr>
              <w:ind w:left="100"/>
              <w:spacing w:after="0"/>
              <w:rPr>
                <w:sz w:val="20"/>
                <w:szCs w:val="20"/>
                <w:color w:val="auto"/>
              </w:rPr>
            </w:pPr>
            <w:r>
              <w:rPr>
                <w:rFonts w:ascii="Times New Roman" w:cs="Times New Roman" w:eastAsia="Times New Roman" w:hAnsi="Times New Roman"/>
                <w:sz w:val="24"/>
                <w:szCs w:val="24"/>
                <w:b w:val="1"/>
                <w:bCs w:val="1"/>
                <w:color w:val="auto"/>
              </w:rPr>
              <w:t>Adet</w:t>
            </w:r>
          </w:p>
        </w:tc>
        <w:tc>
          <w:tcPr>
            <w:tcW w:w="100" w:type="dxa"/>
            <w:vAlign w:val="bottom"/>
            <w:shd w:val="clear" w:color="auto" w:fill="BFBFBF"/>
          </w:tcPr>
          <w:p>
            <w:pPr>
              <w:spacing w:after="0"/>
              <w:rPr>
                <w:sz w:val="10"/>
                <w:szCs w:val="10"/>
                <w:color w:val="auto"/>
              </w:rPr>
            </w:pPr>
          </w:p>
        </w:tc>
        <w:tc>
          <w:tcPr>
            <w:tcW w:w="20" w:type="dxa"/>
            <w:vAlign w:val="bottom"/>
          </w:tcPr>
          <w:p>
            <w:pPr>
              <w:spacing w:after="0"/>
              <w:rPr>
                <w:sz w:val="10"/>
                <w:szCs w:val="10"/>
                <w:color w:val="auto"/>
              </w:rPr>
            </w:pPr>
          </w:p>
        </w:tc>
        <w:tc>
          <w:tcPr>
            <w:tcW w:w="1000" w:type="dxa"/>
            <w:vAlign w:val="bottom"/>
            <w:gridSpan w:val="2"/>
            <w:vMerge w:val="restart"/>
            <w:shd w:val="clear" w:color="auto" w:fill="BFBFBF"/>
          </w:tcPr>
          <w:p>
            <w:pPr>
              <w:jc w:val="center"/>
              <w:spacing w:after="0" w:line="237" w:lineRule="exact"/>
              <w:rPr>
                <w:sz w:val="20"/>
                <w:szCs w:val="20"/>
                <w:color w:val="auto"/>
              </w:rPr>
            </w:pPr>
            <w:r>
              <w:rPr>
                <w:rFonts w:ascii="Times New Roman" w:cs="Times New Roman" w:eastAsia="Times New Roman" w:hAnsi="Times New Roman"/>
                <w:sz w:val="24"/>
                <w:szCs w:val="24"/>
                <w:b w:val="1"/>
                <w:bCs w:val="1"/>
                <w:color w:val="auto"/>
                <w:w w:val="99"/>
              </w:rPr>
              <w:t>Süre</w:t>
            </w:r>
          </w:p>
        </w:tc>
        <w:tc>
          <w:tcPr>
            <w:tcW w:w="20" w:type="dxa"/>
            <w:vAlign w:val="bottom"/>
          </w:tcPr>
          <w:p>
            <w:pPr>
              <w:spacing w:after="0"/>
              <w:rPr>
                <w:sz w:val="10"/>
                <w:szCs w:val="10"/>
                <w:color w:val="auto"/>
              </w:rPr>
            </w:pPr>
          </w:p>
        </w:tc>
        <w:tc>
          <w:tcPr>
            <w:tcW w:w="100" w:type="dxa"/>
            <w:vAlign w:val="bottom"/>
            <w:shd w:val="clear" w:color="auto" w:fill="BFBFBF"/>
          </w:tcPr>
          <w:p>
            <w:pPr>
              <w:spacing w:after="0"/>
              <w:rPr>
                <w:sz w:val="10"/>
                <w:szCs w:val="10"/>
                <w:color w:val="auto"/>
              </w:rPr>
            </w:pPr>
          </w:p>
        </w:tc>
        <w:tc>
          <w:tcPr>
            <w:tcW w:w="72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Adet</w:t>
            </w:r>
          </w:p>
        </w:tc>
        <w:tc>
          <w:tcPr>
            <w:tcW w:w="100" w:type="dxa"/>
            <w:vAlign w:val="bottom"/>
            <w:shd w:val="clear" w:color="auto" w:fill="BFBFBF"/>
          </w:tcPr>
          <w:p>
            <w:pPr>
              <w:spacing w:after="0"/>
              <w:rPr>
                <w:sz w:val="10"/>
                <w:szCs w:val="10"/>
                <w:color w:val="auto"/>
              </w:rPr>
            </w:pPr>
          </w:p>
        </w:tc>
        <w:tc>
          <w:tcPr>
            <w:tcW w:w="20" w:type="dxa"/>
            <w:vAlign w:val="bottom"/>
          </w:tcPr>
          <w:p>
            <w:pPr>
              <w:spacing w:after="0"/>
              <w:rPr>
                <w:sz w:val="10"/>
                <w:szCs w:val="10"/>
                <w:color w:val="auto"/>
              </w:rPr>
            </w:pPr>
          </w:p>
        </w:tc>
        <w:tc>
          <w:tcPr>
            <w:tcW w:w="1000" w:type="dxa"/>
            <w:vAlign w:val="bottom"/>
            <w:gridSpan w:val="2"/>
            <w:vMerge w:val="restart"/>
            <w:shd w:val="clear" w:color="auto" w:fill="BFBFBF"/>
          </w:tcPr>
          <w:p>
            <w:pPr>
              <w:jc w:val="center"/>
              <w:spacing w:after="0" w:line="237" w:lineRule="exact"/>
              <w:rPr>
                <w:sz w:val="20"/>
                <w:szCs w:val="20"/>
                <w:color w:val="auto"/>
              </w:rPr>
            </w:pPr>
            <w:r>
              <w:rPr>
                <w:rFonts w:ascii="Times New Roman" w:cs="Times New Roman" w:eastAsia="Times New Roman" w:hAnsi="Times New Roman"/>
                <w:sz w:val="24"/>
                <w:szCs w:val="24"/>
                <w:b w:val="1"/>
                <w:bCs w:val="1"/>
                <w:color w:val="auto"/>
                <w:w w:val="99"/>
              </w:rPr>
              <w:t>Süre</w:t>
            </w:r>
          </w:p>
        </w:tc>
        <w:tc>
          <w:tcPr>
            <w:tcW w:w="20" w:type="dxa"/>
            <w:vAlign w:val="bottom"/>
          </w:tcPr>
          <w:p>
            <w:pPr>
              <w:spacing w:after="0"/>
              <w:rPr>
                <w:sz w:val="10"/>
                <w:szCs w:val="10"/>
                <w:color w:val="auto"/>
              </w:rPr>
            </w:pPr>
          </w:p>
        </w:tc>
        <w:tc>
          <w:tcPr>
            <w:tcW w:w="100" w:type="dxa"/>
            <w:vAlign w:val="bottom"/>
            <w:shd w:val="clear" w:color="auto" w:fill="BFBFBF"/>
          </w:tcPr>
          <w:p>
            <w:pPr>
              <w:spacing w:after="0"/>
              <w:rPr>
                <w:sz w:val="10"/>
                <w:szCs w:val="10"/>
                <w:color w:val="auto"/>
              </w:rPr>
            </w:pPr>
          </w:p>
        </w:tc>
        <w:tc>
          <w:tcPr>
            <w:tcW w:w="72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rPr>
              <w:t>Adet</w:t>
            </w:r>
          </w:p>
        </w:tc>
        <w:tc>
          <w:tcPr>
            <w:tcW w:w="120" w:type="dxa"/>
            <w:vAlign w:val="bottom"/>
            <w:shd w:val="clear" w:color="auto" w:fill="BFBFBF"/>
          </w:tcPr>
          <w:p>
            <w:pPr>
              <w:spacing w:after="0"/>
              <w:rPr>
                <w:sz w:val="10"/>
                <w:szCs w:val="10"/>
                <w:color w:val="auto"/>
              </w:rPr>
            </w:pPr>
          </w:p>
        </w:tc>
        <w:tc>
          <w:tcPr>
            <w:tcW w:w="1000" w:type="dxa"/>
            <w:vAlign w:val="bottom"/>
            <w:vMerge w:val="restart"/>
            <w:shd w:val="clear" w:color="auto" w:fill="BFBFBF"/>
          </w:tcPr>
          <w:p>
            <w:pPr>
              <w:jc w:val="center"/>
              <w:spacing w:after="0" w:line="237" w:lineRule="exact"/>
              <w:rPr>
                <w:sz w:val="20"/>
                <w:szCs w:val="20"/>
                <w:color w:val="auto"/>
              </w:rPr>
            </w:pPr>
            <w:r>
              <w:rPr>
                <w:rFonts w:ascii="Times New Roman" w:cs="Times New Roman" w:eastAsia="Times New Roman" w:hAnsi="Times New Roman"/>
                <w:sz w:val="24"/>
                <w:szCs w:val="24"/>
                <w:b w:val="1"/>
                <w:bCs w:val="1"/>
                <w:color w:val="auto"/>
                <w:w w:val="99"/>
              </w:rPr>
              <w:t>Süre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1540" w:type="dxa"/>
            <w:vAlign w:val="bottom"/>
            <w:shd w:val="clear" w:color="auto" w:fill="BFBFBF"/>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740" w:type="dxa"/>
            <w:vAlign w:val="bottom"/>
            <w:gridSpan w:val="2"/>
            <w:vMerge w:val="continue"/>
            <w:shd w:val="clear" w:color="auto" w:fill="BFBFBF"/>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1020" w:type="dxa"/>
            <w:vAlign w:val="bottom"/>
            <w:gridSpan w:val="2"/>
            <w:vMerge w:val="continue"/>
            <w:shd w:val="clear" w:color="auto" w:fill="BFBFBF"/>
          </w:tcPr>
          <w:p>
            <w:pPr>
              <w:spacing w:after="0"/>
              <w:rPr>
                <w:sz w:val="9"/>
                <w:szCs w:val="9"/>
                <w:color w:val="auto"/>
              </w:rPr>
            </w:pPr>
          </w:p>
        </w:tc>
        <w:tc>
          <w:tcPr>
            <w:tcW w:w="120" w:type="dxa"/>
            <w:vAlign w:val="bottom"/>
            <w:shd w:val="clear" w:color="auto" w:fill="BFBFBF"/>
          </w:tcPr>
          <w:p>
            <w:pPr>
              <w:spacing w:after="0"/>
              <w:rPr>
                <w:sz w:val="9"/>
                <w:szCs w:val="9"/>
                <w:color w:val="auto"/>
              </w:rPr>
            </w:pPr>
          </w:p>
        </w:tc>
        <w:tc>
          <w:tcPr>
            <w:tcW w:w="720" w:type="dxa"/>
            <w:vAlign w:val="bottom"/>
            <w:vMerge w:val="continue"/>
            <w:shd w:val="clear" w:color="auto" w:fill="BFBFBF"/>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gridSpan w:val="2"/>
            <w:vMerge w:val="continue"/>
            <w:shd w:val="clear" w:color="auto" w:fill="BFBFBF"/>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720" w:type="dxa"/>
            <w:vAlign w:val="bottom"/>
            <w:vMerge w:val="continue"/>
            <w:shd w:val="clear" w:color="auto" w:fill="BFBFBF"/>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20" w:type="dxa"/>
            <w:vAlign w:val="bottom"/>
          </w:tcPr>
          <w:p>
            <w:pPr>
              <w:spacing w:after="0"/>
              <w:rPr>
                <w:sz w:val="9"/>
                <w:szCs w:val="9"/>
                <w:color w:val="auto"/>
              </w:rPr>
            </w:pPr>
          </w:p>
        </w:tc>
        <w:tc>
          <w:tcPr>
            <w:tcW w:w="1000" w:type="dxa"/>
            <w:vAlign w:val="bottom"/>
            <w:gridSpan w:val="2"/>
            <w:vMerge w:val="continue"/>
            <w:shd w:val="clear" w:color="auto" w:fill="BFBFBF"/>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shd w:val="clear" w:color="auto" w:fill="BFBFBF"/>
          </w:tcPr>
          <w:p>
            <w:pPr>
              <w:spacing w:after="0"/>
              <w:rPr>
                <w:sz w:val="9"/>
                <w:szCs w:val="9"/>
                <w:color w:val="auto"/>
              </w:rPr>
            </w:pPr>
          </w:p>
        </w:tc>
        <w:tc>
          <w:tcPr>
            <w:tcW w:w="720" w:type="dxa"/>
            <w:vAlign w:val="bottom"/>
            <w:gridSpan w:val="2"/>
            <w:vMerge w:val="continue"/>
            <w:shd w:val="clear" w:color="auto" w:fill="BFBFBF"/>
          </w:tcPr>
          <w:p>
            <w:pPr>
              <w:spacing w:after="0"/>
              <w:rPr>
                <w:sz w:val="9"/>
                <w:szCs w:val="9"/>
                <w:color w:val="auto"/>
              </w:rPr>
            </w:pPr>
          </w:p>
        </w:tc>
        <w:tc>
          <w:tcPr>
            <w:tcW w:w="120" w:type="dxa"/>
            <w:vAlign w:val="bottom"/>
            <w:shd w:val="clear" w:color="auto" w:fill="BFBFBF"/>
          </w:tcPr>
          <w:p>
            <w:pPr>
              <w:spacing w:after="0"/>
              <w:rPr>
                <w:sz w:val="9"/>
                <w:szCs w:val="9"/>
                <w:color w:val="auto"/>
              </w:rPr>
            </w:pPr>
          </w:p>
        </w:tc>
        <w:tc>
          <w:tcPr>
            <w:tcW w:w="1000" w:type="dxa"/>
            <w:vAlign w:val="bottom"/>
            <w:vMerge w:val="continue"/>
            <w:shd w:val="clear" w:color="auto" w:fill="BFBFBF"/>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540" w:type="dxa"/>
            <w:vAlign w:val="bottom"/>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740" w:type="dxa"/>
            <w:vAlign w:val="bottom"/>
            <w:gridSpan w:val="2"/>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102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(gün)</w:t>
            </w:r>
          </w:p>
        </w:tc>
        <w:tc>
          <w:tcPr>
            <w:tcW w:w="120" w:type="dxa"/>
            <w:vAlign w:val="bottom"/>
            <w:shd w:val="clear" w:color="auto" w:fill="BFBFBF"/>
          </w:tcPr>
          <w:p>
            <w:pPr>
              <w:spacing w:after="0"/>
              <w:rPr>
                <w:sz w:val="14"/>
                <w:szCs w:val="14"/>
                <w:color w:val="auto"/>
              </w:rPr>
            </w:pPr>
          </w:p>
        </w:tc>
        <w:tc>
          <w:tcPr>
            <w:tcW w:w="720" w:type="dxa"/>
            <w:vAlign w:val="bottom"/>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rPr>
              <w:t>(gün)</w:t>
            </w:r>
          </w:p>
        </w:tc>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720" w:type="dxa"/>
            <w:vAlign w:val="bottom"/>
            <w:vMerge w:val="continue"/>
            <w:shd w:val="clear" w:color="auto" w:fill="BFBFBF"/>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gridSpan w:val="2"/>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rPr>
              <w:t>(gün)</w:t>
            </w:r>
          </w:p>
        </w:tc>
        <w:tc>
          <w:tcPr>
            <w:tcW w:w="20" w:type="dxa"/>
            <w:vAlign w:val="bottom"/>
          </w:tcPr>
          <w:p>
            <w:pPr>
              <w:spacing w:after="0"/>
              <w:rPr>
                <w:sz w:val="14"/>
                <w:szCs w:val="14"/>
                <w:color w:val="auto"/>
              </w:rPr>
            </w:pPr>
          </w:p>
        </w:tc>
        <w:tc>
          <w:tcPr>
            <w:tcW w:w="100" w:type="dxa"/>
            <w:vAlign w:val="bottom"/>
            <w:shd w:val="clear" w:color="auto" w:fill="BFBFBF"/>
          </w:tcPr>
          <w:p>
            <w:pPr>
              <w:spacing w:after="0"/>
              <w:rPr>
                <w:sz w:val="14"/>
                <w:szCs w:val="14"/>
                <w:color w:val="auto"/>
              </w:rPr>
            </w:pPr>
          </w:p>
        </w:tc>
        <w:tc>
          <w:tcPr>
            <w:tcW w:w="720" w:type="dxa"/>
            <w:vAlign w:val="bottom"/>
            <w:gridSpan w:val="2"/>
            <w:vMerge w:val="continue"/>
            <w:shd w:val="clear" w:color="auto" w:fill="BFBFBF"/>
          </w:tcPr>
          <w:p>
            <w:pPr>
              <w:spacing w:after="0"/>
              <w:rPr>
                <w:sz w:val="14"/>
                <w:szCs w:val="14"/>
                <w:color w:val="auto"/>
              </w:rPr>
            </w:pPr>
          </w:p>
        </w:tc>
        <w:tc>
          <w:tcPr>
            <w:tcW w:w="120" w:type="dxa"/>
            <w:vAlign w:val="bottom"/>
            <w:shd w:val="clear" w:color="auto" w:fill="BFBFBF"/>
          </w:tcPr>
          <w:p>
            <w:pPr>
              <w:spacing w:after="0"/>
              <w:rPr>
                <w:sz w:val="14"/>
                <w:szCs w:val="14"/>
                <w:color w:val="auto"/>
              </w:rPr>
            </w:pPr>
          </w:p>
        </w:tc>
        <w:tc>
          <w:tcPr>
            <w:tcW w:w="1000" w:type="dxa"/>
            <w:vAlign w:val="bottom"/>
            <w:vMerge w:val="restart"/>
            <w:shd w:val="clear" w:color="auto" w:fill="BFBFBF"/>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(gün)</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8"/>
        </w:trPr>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154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500" w:type="dxa"/>
            <w:vAlign w:val="bottom"/>
            <w:tcBorders>
              <w:bottom w:val="single" w:sz="8" w:color="auto"/>
            </w:tcBorders>
            <w:shd w:val="clear" w:color="auto" w:fill="BFBFBF"/>
          </w:tcPr>
          <w:p>
            <w:pPr>
              <w:spacing w:after="0"/>
              <w:rPr>
                <w:sz w:val="12"/>
                <w:szCs w:val="12"/>
                <w:color w:val="auto"/>
              </w:rPr>
            </w:pPr>
          </w:p>
        </w:tc>
        <w:tc>
          <w:tcPr>
            <w:tcW w:w="24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1020" w:type="dxa"/>
            <w:vAlign w:val="bottom"/>
            <w:tcBorders>
              <w:bottom w:val="single" w:sz="8" w:color="auto"/>
            </w:tcBorders>
            <w:gridSpan w:val="2"/>
            <w:vMerge w:val="continue"/>
            <w:shd w:val="clear" w:color="auto" w:fill="BFBFBF"/>
          </w:tcPr>
          <w:p>
            <w:pPr>
              <w:spacing w:after="0"/>
              <w:rPr>
                <w:sz w:val="12"/>
                <w:szCs w:val="12"/>
                <w:color w:val="auto"/>
              </w:rPr>
            </w:pPr>
          </w:p>
        </w:tc>
        <w:tc>
          <w:tcPr>
            <w:tcW w:w="120" w:type="dxa"/>
            <w:vAlign w:val="bottom"/>
            <w:tcBorders>
              <w:bottom w:val="single" w:sz="8" w:color="auto"/>
            </w:tcBorders>
            <w:shd w:val="clear" w:color="auto" w:fill="BFBFBF"/>
          </w:tcPr>
          <w:p>
            <w:pPr>
              <w:spacing w:after="0"/>
              <w:rPr>
                <w:sz w:val="12"/>
                <w:szCs w:val="12"/>
                <w:color w:val="auto"/>
              </w:rPr>
            </w:pPr>
          </w:p>
        </w:tc>
        <w:tc>
          <w:tcPr>
            <w:tcW w:w="72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gridSpan w:val="2"/>
            <w:vMerge w:val="continue"/>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720" w:type="dxa"/>
            <w:vAlign w:val="bottom"/>
            <w:tcBorders>
              <w:bottom w:val="single" w:sz="8" w:color="auto"/>
            </w:tcBorders>
            <w:shd w:val="clear" w:color="auto" w:fill="BFBFBF"/>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gridSpan w:val="2"/>
            <w:vMerge w:val="continue"/>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shd w:val="clear" w:color="auto" w:fill="BFBFBF"/>
          </w:tcPr>
          <w:p>
            <w:pPr>
              <w:spacing w:after="0"/>
              <w:rPr>
                <w:sz w:val="12"/>
                <w:szCs w:val="12"/>
                <w:color w:val="auto"/>
              </w:rPr>
            </w:pPr>
          </w:p>
        </w:tc>
        <w:tc>
          <w:tcPr>
            <w:tcW w:w="500" w:type="dxa"/>
            <w:vAlign w:val="bottom"/>
            <w:tcBorders>
              <w:bottom w:val="single" w:sz="8" w:color="auto"/>
            </w:tcBorders>
            <w:shd w:val="clear" w:color="auto" w:fill="BFBFBF"/>
          </w:tcPr>
          <w:p>
            <w:pPr>
              <w:spacing w:after="0"/>
              <w:rPr>
                <w:sz w:val="12"/>
                <w:szCs w:val="12"/>
                <w:color w:val="auto"/>
              </w:rPr>
            </w:pPr>
          </w:p>
        </w:tc>
        <w:tc>
          <w:tcPr>
            <w:tcW w:w="220" w:type="dxa"/>
            <w:vAlign w:val="bottom"/>
            <w:tcBorders>
              <w:bottom w:val="single" w:sz="8" w:color="auto"/>
            </w:tcBorders>
            <w:shd w:val="clear" w:color="auto" w:fill="BFBFBF"/>
          </w:tcPr>
          <w:p>
            <w:pPr>
              <w:spacing w:after="0"/>
              <w:rPr>
                <w:sz w:val="12"/>
                <w:szCs w:val="12"/>
                <w:color w:val="auto"/>
              </w:rPr>
            </w:pPr>
          </w:p>
        </w:tc>
        <w:tc>
          <w:tcPr>
            <w:tcW w:w="120" w:type="dxa"/>
            <w:vAlign w:val="bottom"/>
            <w:tcBorders>
              <w:bottom w:val="single" w:sz="8" w:color="auto"/>
            </w:tcBorders>
            <w:shd w:val="clear" w:color="auto" w:fill="BFBFBF"/>
          </w:tcPr>
          <w:p>
            <w:pPr>
              <w:spacing w:after="0"/>
              <w:rPr>
                <w:sz w:val="12"/>
                <w:szCs w:val="12"/>
                <w:color w:val="auto"/>
              </w:rPr>
            </w:pPr>
          </w:p>
        </w:tc>
        <w:tc>
          <w:tcPr>
            <w:tcW w:w="1000" w:type="dxa"/>
            <w:vAlign w:val="bottom"/>
            <w:tcBorders>
              <w:bottom w:val="single" w:sz="8" w:color="auto"/>
            </w:tcBorders>
            <w:vMerge w:val="continue"/>
            <w:shd w:val="clear" w:color="auto" w:fill="BFBFBF"/>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gridSpan w:val="2"/>
          </w:tcPr>
          <w:p>
            <w:pPr>
              <w:spacing w:after="0" w:line="239" w:lineRule="exact"/>
              <w:rPr>
                <w:sz w:val="20"/>
                <w:szCs w:val="20"/>
                <w:color w:val="auto"/>
              </w:rPr>
            </w:pPr>
            <w:r>
              <w:rPr>
                <w:rFonts w:ascii="Times New Roman" w:cs="Times New Roman" w:eastAsia="Times New Roman" w:hAnsi="Times New Roman"/>
                <w:sz w:val="24"/>
                <w:szCs w:val="24"/>
                <w:color w:val="auto"/>
              </w:rPr>
              <w:t>Akademik</w:t>
            </w:r>
          </w:p>
        </w:tc>
        <w:tc>
          <w:tcPr>
            <w:tcW w:w="600" w:type="dxa"/>
            <w:vAlign w:val="bottom"/>
            <w:gridSpan w:val="2"/>
            <w:vMerge w:val="restart"/>
          </w:tcPr>
          <w:p>
            <w:pPr>
              <w:jc w:val="center"/>
              <w:ind w:left="240"/>
              <w:spacing w:after="0"/>
              <w:rPr>
                <w:sz w:val="20"/>
                <w:szCs w:val="20"/>
                <w:color w:val="auto"/>
              </w:rPr>
            </w:pPr>
            <w:r>
              <w:rPr>
                <w:rFonts w:ascii="Times New Roman" w:cs="Times New Roman" w:eastAsia="Times New Roman" w:hAnsi="Times New Roman"/>
                <w:sz w:val="24"/>
                <w:szCs w:val="24"/>
                <w:color w:val="auto"/>
                <w:w w:val="99"/>
              </w:rPr>
              <w:t>5</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100" w:type="dxa"/>
            <w:vAlign w:val="bottom"/>
          </w:tcPr>
          <w:p>
            <w:pPr>
              <w:spacing w:after="0"/>
              <w:rPr>
                <w:sz w:val="20"/>
                <w:szCs w:val="20"/>
                <w:color w:val="auto"/>
              </w:rPr>
            </w:pPr>
          </w:p>
        </w:tc>
        <w:tc>
          <w:tcPr>
            <w:tcW w:w="8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00" w:type="dxa"/>
            <w:vAlign w:val="bottom"/>
          </w:tcPr>
          <w:p>
            <w:pPr>
              <w:spacing w:after="0"/>
              <w:rPr>
                <w:sz w:val="20"/>
                <w:szCs w:val="20"/>
                <w:color w:val="auto"/>
              </w:rPr>
            </w:pPr>
          </w:p>
        </w:tc>
        <w:tc>
          <w:tcPr>
            <w:tcW w:w="9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w:t>
            </w:r>
          </w:p>
        </w:tc>
        <w:tc>
          <w:tcPr>
            <w:tcW w:w="100" w:type="dxa"/>
            <w:vAlign w:val="bottom"/>
          </w:tcPr>
          <w:p>
            <w:pPr>
              <w:spacing w:after="0"/>
              <w:rPr>
                <w:sz w:val="20"/>
                <w:szCs w:val="20"/>
                <w:color w:val="auto"/>
              </w:rPr>
            </w:pPr>
          </w:p>
        </w:tc>
        <w:tc>
          <w:tcPr>
            <w:tcW w:w="840" w:type="dxa"/>
            <w:vAlign w:val="bottom"/>
            <w:gridSpan w:val="3"/>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00" w:type="dxa"/>
            <w:vAlign w:val="bottom"/>
          </w:tcPr>
          <w:p>
            <w:pPr>
              <w:spacing w:after="0"/>
              <w:rPr>
                <w:sz w:val="20"/>
                <w:szCs w:val="20"/>
                <w:color w:val="auto"/>
              </w:rPr>
            </w:pPr>
          </w:p>
        </w:tc>
        <w:tc>
          <w:tcPr>
            <w:tcW w:w="9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100" w:type="dxa"/>
            <w:vAlign w:val="bottom"/>
          </w:tcPr>
          <w:p>
            <w:pPr>
              <w:spacing w:after="0"/>
              <w:rPr>
                <w:sz w:val="20"/>
                <w:szCs w:val="20"/>
                <w:color w:val="auto"/>
              </w:rPr>
            </w:pPr>
          </w:p>
        </w:tc>
        <w:tc>
          <w:tcPr>
            <w:tcW w:w="620" w:type="dxa"/>
            <w:vAlign w:val="bottom"/>
            <w:gridSpan w:val="3"/>
            <w:vMerge w:val="restart"/>
          </w:tcPr>
          <w:p>
            <w:pPr>
              <w:jc w:val="center"/>
              <w:ind w:left="220"/>
              <w:spacing w:after="0"/>
              <w:rPr>
                <w:sz w:val="20"/>
                <w:szCs w:val="20"/>
                <w:color w:val="auto"/>
              </w:rPr>
            </w:pPr>
            <w:r>
              <w:rPr>
                <w:rFonts w:ascii="Times New Roman" w:cs="Times New Roman" w:eastAsia="Times New Roman" w:hAnsi="Times New Roman"/>
                <w:sz w:val="24"/>
                <w:szCs w:val="24"/>
                <w:color w:val="auto"/>
                <w:w w:val="99"/>
              </w:rPr>
              <w:t>1</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40" w:type="dxa"/>
            <w:vAlign w:val="bottom"/>
            <w:gridSpan w:val="2"/>
            <w:vMerge w:val="restart"/>
          </w:tcPr>
          <w:p>
            <w:pPr>
              <w:spacing w:after="0"/>
              <w:rPr>
                <w:sz w:val="20"/>
                <w:szCs w:val="20"/>
                <w:color w:val="auto"/>
              </w:rPr>
            </w:pPr>
            <w:r>
              <w:rPr>
                <w:rFonts w:ascii="Times New Roman" w:cs="Times New Roman" w:eastAsia="Times New Roman" w:hAnsi="Times New Roman"/>
                <w:sz w:val="24"/>
                <w:szCs w:val="24"/>
                <w:color w:val="auto"/>
              </w:rPr>
              <w:t>Personel</w:t>
            </w:r>
          </w:p>
        </w:tc>
        <w:tc>
          <w:tcPr>
            <w:tcW w:w="60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3"/>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1"/>
        </w:trPr>
        <w:tc>
          <w:tcPr>
            <w:tcW w:w="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gridSpan w:val="2"/>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640" w:type="dxa"/>
            <w:vAlign w:val="bottom"/>
            <w:tcBorders>
              <w:bottom w:val="single" w:sz="8" w:color="auto"/>
            </w:tcBorders>
            <w:gridSpan w:val="2"/>
          </w:tcPr>
          <w:p>
            <w:pPr>
              <w:spacing w:after="0" w:line="265" w:lineRule="exact"/>
              <w:rPr>
                <w:sz w:val="20"/>
                <w:szCs w:val="20"/>
                <w:color w:val="auto"/>
              </w:rPr>
            </w:pPr>
            <w:r>
              <w:rPr>
                <w:rFonts w:ascii="Times New Roman" w:cs="Times New Roman" w:eastAsia="Times New Roman" w:hAnsi="Times New Roman"/>
                <w:sz w:val="24"/>
                <w:szCs w:val="24"/>
                <w:color w:val="auto"/>
              </w:rPr>
              <w:t>Öğrenci</w:t>
            </w:r>
          </w:p>
        </w:tc>
        <w:tc>
          <w:tcPr>
            <w:tcW w:w="600" w:type="dxa"/>
            <w:vAlign w:val="bottom"/>
            <w:tcBorders>
              <w:bottom w:val="single" w:sz="8" w:color="auto"/>
            </w:tcBorders>
            <w:gridSpan w:val="2"/>
          </w:tcPr>
          <w:p>
            <w:pPr>
              <w:jc w:val="center"/>
              <w:ind w:left="240"/>
              <w:spacing w:after="0" w:line="265" w:lineRule="exact"/>
              <w:rPr>
                <w:sz w:val="20"/>
                <w:szCs w:val="20"/>
                <w:color w:val="auto"/>
              </w:rPr>
            </w:pPr>
            <w:r>
              <w:rPr>
                <w:rFonts w:ascii="Times New Roman" w:cs="Times New Roman" w:eastAsia="Times New Roman" w:hAnsi="Times New Roman"/>
                <w:sz w:val="24"/>
                <w:szCs w:val="24"/>
                <w:color w:val="auto"/>
                <w:w w:val="99"/>
              </w:rPr>
              <w:t>3</w:t>
            </w:r>
          </w:p>
        </w:tc>
        <w:tc>
          <w:tcPr>
            <w:tcW w:w="2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10</w:t>
            </w:r>
          </w:p>
        </w:tc>
        <w:tc>
          <w:tcPr>
            <w:tcW w:w="10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gridSpan w:val="2"/>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gridSpan w:val="2"/>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Borders>
              <w:bottom w:val="single" w:sz="8" w:color="auto"/>
            </w:tcBorders>
          </w:tcPr>
          <w:p>
            <w:pPr>
              <w:spacing w:after="0"/>
              <w:rPr>
                <w:sz w:val="23"/>
                <w:szCs w:val="23"/>
                <w:color w:val="auto"/>
              </w:rPr>
            </w:pPr>
          </w:p>
        </w:tc>
        <w:tc>
          <w:tcPr>
            <w:tcW w:w="840" w:type="dxa"/>
            <w:vAlign w:val="bottom"/>
            <w:tcBorders>
              <w:bottom w:val="single" w:sz="8" w:color="auto"/>
            </w:tcBorders>
            <w:gridSpan w:val="3"/>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2</w:t>
            </w:r>
          </w:p>
        </w:tc>
        <w:tc>
          <w:tcPr>
            <w:tcW w:w="10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gridSpan w:val="2"/>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10</w:t>
            </w:r>
          </w:p>
        </w:tc>
        <w:tc>
          <w:tcPr>
            <w:tcW w:w="100" w:type="dxa"/>
            <w:vAlign w:val="bottom"/>
            <w:tcBorders>
              <w:bottom w:val="single" w:sz="8" w:color="auto"/>
            </w:tcBorders>
          </w:tcPr>
          <w:p>
            <w:pPr>
              <w:spacing w:after="0"/>
              <w:rPr>
                <w:sz w:val="23"/>
                <w:szCs w:val="23"/>
                <w:color w:val="auto"/>
              </w:rPr>
            </w:pPr>
          </w:p>
        </w:tc>
        <w:tc>
          <w:tcPr>
            <w:tcW w:w="620" w:type="dxa"/>
            <w:vAlign w:val="bottom"/>
            <w:tcBorders>
              <w:bottom w:val="single" w:sz="8" w:color="auto"/>
            </w:tcBorders>
            <w:gridSpan w:val="3"/>
          </w:tcPr>
          <w:p>
            <w:pPr>
              <w:jc w:val="center"/>
              <w:ind w:left="220"/>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22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10</w:t>
            </w:r>
          </w:p>
        </w:tc>
        <w:tc>
          <w:tcPr>
            <w:tcW w:w="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gridSpan w:val="2"/>
          </w:tcPr>
          <w:p>
            <w:pPr>
              <w:spacing w:after="0" w:line="240" w:lineRule="exact"/>
              <w:rPr>
                <w:sz w:val="20"/>
                <w:szCs w:val="20"/>
                <w:color w:val="auto"/>
              </w:rPr>
            </w:pPr>
            <w:r>
              <w:rPr>
                <w:rFonts w:ascii="Times New Roman" w:cs="Times New Roman" w:eastAsia="Times New Roman" w:hAnsi="Times New Roman"/>
                <w:sz w:val="24"/>
                <w:szCs w:val="24"/>
                <w:color w:val="auto"/>
              </w:rPr>
              <w:t>Yüksek Lisans</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-Doktora</w:t>
            </w:r>
          </w:p>
        </w:tc>
        <w:tc>
          <w:tcPr>
            <w:tcW w:w="600" w:type="dxa"/>
            <w:vAlign w:val="bottom"/>
            <w:gridSpan w:val="2"/>
          </w:tcPr>
          <w:p>
            <w:pPr>
              <w:jc w:val="center"/>
              <w:ind w:left="240"/>
              <w:spacing w:after="0"/>
              <w:rPr>
                <w:sz w:val="20"/>
                <w:szCs w:val="20"/>
                <w:color w:val="auto"/>
              </w:rPr>
            </w:pPr>
            <w:r>
              <w:rPr>
                <w:rFonts w:ascii="Times New Roman" w:cs="Times New Roman" w:eastAsia="Times New Roman" w:hAnsi="Times New Roman"/>
                <w:sz w:val="24"/>
                <w:szCs w:val="24"/>
                <w:color w:val="auto"/>
                <w:w w:val="99"/>
              </w:rPr>
              <w:t>5</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100" w:type="dxa"/>
            <w:vAlign w:val="bottom"/>
          </w:tcPr>
          <w:p>
            <w:pPr>
              <w:spacing w:after="0"/>
              <w:rPr>
                <w:sz w:val="24"/>
                <w:szCs w:val="24"/>
                <w:color w:val="auto"/>
              </w:rPr>
            </w:pPr>
          </w:p>
        </w:tc>
        <w:tc>
          <w:tcPr>
            <w:tcW w:w="84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4"/>
                <w:szCs w:val="24"/>
                <w:color w:val="auto"/>
              </w:rPr>
            </w:pPr>
          </w:p>
        </w:tc>
        <w:tc>
          <w:tcPr>
            <w:tcW w:w="9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4"/>
                <w:szCs w:val="24"/>
                <w:color w:val="auto"/>
              </w:rPr>
            </w:pPr>
          </w:p>
        </w:tc>
        <w:tc>
          <w:tcPr>
            <w:tcW w:w="840" w:type="dxa"/>
            <w:vAlign w:val="bottom"/>
            <w:gridSpan w:val="3"/>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00" w:type="dxa"/>
            <w:vAlign w:val="bottom"/>
          </w:tcPr>
          <w:p>
            <w:pPr>
              <w:spacing w:after="0"/>
              <w:rPr>
                <w:sz w:val="24"/>
                <w:szCs w:val="24"/>
                <w:color w:val="auto"/>
              </w:rPr>
            </w:pPr>
          </w:p>
        </w:tc>
        <w:tc>
          <w:tcPr>
            <w:tcW w:w="9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100" w:type="dxa"/>
            <w:vAlign w:val="bottom"/>
          </w:tcPr>
          <w:p>
            <w:pPr>
              <w:spacing w:after="0"/>
              <w:rPr>
                <w:sz w:val="24"/>
                <w:szCs w:val="24"/>
                <w:color w:val="auto"/>
              </w:rPr>
            </w:pPr>
          </w:p>
        </w:tc>
        <w:tc>
          <w:tcPr>
            <w:tcW w:w="620" w:type="dxa"/>
            <w:vAlign w:val="bottom"/>
            <w:gridSpan w:val="3"/>
          </w:tcPr>
          <w:p>
            <w:pPr>
              <w:jc w:val="center"/>
              <w:ind w:left="220"/>
              <w:spacing w:after="0"/>
              <w:rPr>
                <w:sz w:val="20"/>
                <w:szCs w:val="20"/>
                <w:color w:val="auto"/>
              </w:rPr>
            </w:pPr>
            <w:r>
              <w:rPr>
                <w:rFonts w:ascii="Times New Roman" w:cs="Times New Roman" w:eastAsia="Times New Roman" w:hAnsi="Times New Roman"/>
                <w:sz w:val="24"/>
                <w:szCs w:val="24"/>
                <w:color w:val="auto"/>
                <w:w w:val="99"/>
              </w:rPr>
              <w:t>1</w:t>
            </w: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Öğrencileri</w:t>
            </w:r>
          </w:p>
        </w:tc>
        <w:tc>
          <w:tcPr>
            <w:tcW w:w="1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40" w:type="dxa"/>
            <w:vAlign w:val="bottom"/>
            <w:gridSpan w:val="2"/>
          </w:tcPr>
          <w:p>
            <w:pPr>
              <w:spacing w:after="0" w:line="256" w:lineRule="exact"/>
              <w:rPr>
                <w:sz w:val="20"/>
                <w:szCs w:val="20"/>
                <w:color w:val="auto"/>
              </w:rPr>
            </w:pPr>
            <w:r>
              <w:rPr>
                <w:rFonts w:ascii="Times New Roman" w:cs="Times New Roman" w:eastAsia="Times New Roman" w:hAnsi="Times New Roman"/>
                <w:sz w:val="24"/>
                <w:szCs w:val="24"/>
                <w:color w:val="auto"/>
              </w:rPr>
              <w:t>İdari Personel</w:t>
            </w:r>
          </w:p>
        </w:tc>
        <w:tc>
          <w:tcPr>
            <w:tcW w:w="600" w:type="dxa"/>
            <w:vAlign w:val="bottom"/>
            <w:gridSpan w:val="2"/>
          </w:tcPr>
          <w:p>
            <w:pPr>
              <w:jc w:val="center"/>
              <w:ind w:left="240"/>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10</w:t>
            </w:r>
          </w:p>
        </w:tc>
        <w:tc>
          <w:tcPr>
            <w:tcW w:w="100" w:type="dxa"/>
            <w:vAlign w:val="bottom"/>
          </w:tcPr>
          <w:p>
            <w:pPr>
              <w:spacing w:after="0"/>
              <w:rPr>
                <w:sz w:val="22"/>
                <w:szCs w:val="22"/>
                <w:color w:val="auto"/>
              </w:rPr>
            </w:pPr>
          </w:p>
        </w:tc>
        <w:tc>
          <w:tcPr>
            <w:tcW w:w="840" w:type="dxa"/>
            <w:vAlign w:val="bottom"/>
            <w:gridSpan w:val="2"/>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2"/>
                <w:szCs w:val="22"/>
                <w:color w:val="auto"/>
              </w:rPr>
            </w:pPr>
          </w:p>
        </w:tc>
        <w:tc>
          <w:tcPr>
            <w:tcW w:w="920" w:type="dxa"/>
            <w:vAlign w:val="bottom"/>
            <w:gridSpan w:val="2"/>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00" w:type="dxa"/>
            <w:vAlign w:val="bottom"/>
          </w:tcPr>
          <w:p>
            <w:pPr>
              <w:spacing w:after="0"/>
              <w:rPr>
                <w:sz w:val="22"/>
                <w:szCs w:val="22"/>
                <w:color w:val="auto"/>
              </w:rPr>
            </w:pPr>
          </w:p>
        </w:tc>
        <w:tc>
          <w:tcPr>
            <w:tcW w:w="840" w:type="dxa"/>
            <w:vAlign w:val="bottom"/>
            <w:gridSpan w:val="3"/>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2</w:t>
            </w:r>
          </w:p>
        </w:tc>
        <w:tc>
          <w:tcPr>
            <w:tcW w:w="100" w:type="dxa"/>
            <w:vAlign w:val="bottom"/>
          </w:tcPr>
          <w:p>
            <w:pPr>
              <w:spacing w:after="0"/>
              <w:rPr>
                <w:sz w:val="22"/>
                <w:szCs w:val="22"/>
                <w:color w:val="auto"/>
              </w:rPr>
            </w:pPr>
          </w:p>
        </w:tc>
        <w:tc>
          <w:tcPr>
            <w:tcW w:w="920" w:type="dxa"/>
            <w:vAlign w:val="bottom"/>
            <w:gridSpan w:val="2"/>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10</w:t>
            </w:r>
          </w:p>
        </w:tc>
        <w:tc>
          <w:tcPr>
            <w:tcW w:w="100" w:type="dxa"/>
            <w:vAlign w:val="bottom"/>
          </w:tcPr>
          <w:p>
            <w:pPr>
              <w:spacing w:after="0"/>
              <w:rPr>
                <w:sz w:val="22"/>
                <w:szCs w:val="22"/>
                <w:color w:val="auto"/>
              </w:rPr>
            </w:pPr>
          </w:p>
        </w:tc>
        <w:tc>
          <w:tcPr>
            <w:tcW w:w="620" w:type="dxa"/>
            <w:vAlign w:val="bottom"/>
            <w:gridSpan w:val="3"/>
          </w:tcPr>
          <w:p>
            <w:pPr>
              <w:jc w:val="center"/>
              <w:ind w:left="220"/>
              <w:spacing w:after="0" w:line="256" w:lineRule="exact"/>
              <w:rPr>
                <w:sz w:val="20"/>
                <w:szCs w:val="20"/>
                <w:color w:val="auto"/>
              </w:rPr>
            </w:pPr>
            <w:r>
              <w:rPr>
                <w:rFonts w:ascii="Times New Roman" w:cs="Times New Roman" w:eastAsia="Times New Roman" w:hAnsi="Times New Roman"/>
                <w:sz w:val="24"/>
                <w:szCs w:val="24"/>
                <w:color w:val="auto"/>
                <w:w w:val="99"/>
              </w:rPr>
              <w:t>1</w:t>
            </w:r>
          </w:p>
        </w:tc>
        <w:tc>
          <w:tcPr>
            <w:tcW w:w="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10</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-1959610</wp:posOffset>
                </wp:positionV>
                <wp:extent cx="0" cy="197167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54.2999pt" to="0.55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1115695</wp:posOffset>
                </wp:positionH>
                <wp:positionV relativeFrom="paragraph">
                  <wp:posOffset>-1959610</wp:posOffset>
                </wp:positionV>
                <wp:extent cx="0" cy="197167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85pt,-154.2999pt" to="87.85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1717040</wp:posOffset>
                </wp:positionH>
                <wp:positionV relativeFrom="paragraph">
                  <wp:posOffset>-1602740</wp:posOffset>
                </wp:positionV>
                <wp:extent cx="0" cy="161480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4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5.2pt,-126.1999pt" to="135.2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2363470</wp:posOffset>
                </wp:positionH>
                <wp:positionV relativeFrom="paragraph">
                  <wp:posOffset>-1959610</wp:posOffset>
                </wp:positionV>
                <wp:extent cx="0" cy="197167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6.1pt,-154.2999pt" to="186.1pt,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2964815</wp:posOffset>
                </wp:positionH>
                <wp:positionV relativeFrom="paragraph">
                  <wp:posOffset>-1602740</wp:posOffset>
                </wp:positionV>
                <wp:extent cx="0" cy="161480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4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5pt,-126.1999pt" to="233.45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3610610</wp:posOffset>
                </wp:positionH>
                <wp:positionV relativeFrom="paragraph">
                  <wp:posOffset>-1959610</wp:posOffset>
                </wp:positionV>
                <wp:extent cx="0" cy="197167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3pt,-154.2999pt" to="284.3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4211955</wp:posOffset>
                </wp:positionH>
                <wp:positionV relativeFrom="paragraph">
                  <wp:posOffset>-1602740</wp:posOffset>
                </wp:positionV>
                <wp:extent cx="0" cy="161480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4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1.65pt,-126.1999pt" to="331.65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4857750</wp:posOffset>
                </wp:positionH>
                <wp:positionV relativeFrom="paragraph">
                  <wp:posOffset>-1959610</wp:posOffset>
                </wp:positionV>
                <wp:extent cx="0" cy="197167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2.5pt,-154.2999pt" to="382.5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5458460</wp:posOffset>
                </wp:positionH>
                <wp:positionV relativeFrom="paragraph">
                  <wp:posOffset>-1602740</wp:posOffset>
                </wp:positionV>
                <wp:extent cx="0" cy="161480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14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8pt,-126.1999pt" to="429.8pt,0.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6104890</wp:posOffset>
                </wp:positionH>
                <wp:positionV relativeFrom="paragraph">
                  <wp:posOffset>-1959610</wp:posOffset>
                </wp:positionV>
                <wp:extent cx="0" cy="197167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716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pt,-154.2999pt" to="480.7pt,0.95pt" o:allowincell="f" strokecolor="#000000" strokeweight="0.4799pt"/>
            </w:pict>
          </mc:Fallback>
        </mc:AlternateContent>
      </w:r>
    </w:p>
    <w:p>
      <w:pPr>
        <w:jc w:val="both"/>
        <w:ind w:firstLine="708"/>
        <w:spacing w:after="0" w:line="271" w:lineRule="auto"/>
        <w:rPr>
          <w:sz w:val="20"/>
          <w:szCs w:val="20"/>
          <w:color w:val="auto"/>
        </w:rPr>
      </w:pPr>
      <w:r>
        <w:rPr>
          <w:rFonts w:ascii="Times New Roman" w:cs="Times New Roman" w:eastAsia="Times New Roman" w:hAnsi="Times New Roman"/>
          <w:sz w:val="24"/>
          <w:szCs w:val="24"/>
          <w:color w:val="auto"/>
        </w:rPr>
        <w:t>Bu süre ve sayılar Kütüphane Danışma Kurulunda belirlenir ve Rektörlük Makamı onayı ile duyurulur.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-386080</wp:posOffset>
                </wp:positionV>
                <wp:extent cx="610362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03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30.3999pt" to="480.95pt,-30.39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pacing w:after="0" w:line="10"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6" w:name="page7"/>
    <w:bookmarkEnd w:id="6"/>
    <w:p>
      <w:pPr>
        <w:spacing w:after="0" w:line="6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Geç İade ve Gecikme Ücreti</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Ödünç alınan materyallerin iade süresi içinde iade edilmemesi halinde;</w:t>
      </w:r>
    </w:p>
    <w:p>
      <w:pPr>
        <w:ind w:left="1120" w:hanging="417"/>
        <w:spacing w:after="0"/>
        <w:tabs>
          <w:tab w:leader="none" w:pos="112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Kullanıcı, son iade tarihinden sonra Kütüphaneye teslim ettiği her kaynak için “Materyal İade Geciktirme* Ücreti” öder.</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*Geciktirme Ücreti: </w:t>
      </w:r>
      <w:r>
        <w:rPr>
          <w:rFonts w:ascii="Times New Roman" w:cs="Times New Roman" w:eastAsia="Times New Roman" w:hAnsi="Times New Roman"/>
          <w:sz w:val="24"/>
          <w:szCs w:val="24"/>
          <w:color w:val="auto"/>
        </w:rPr>
        <w:t>Normal materyaller için günlük: 50.- KR.</w:t>
      </w:r>
    </w:p>
    <w:p>
      <w:pPr>
        <w:ind w:left="2820"/>
        <w:spacing w:after="0"/>
        <w:rPr>
          <w:sz w:val="20"/>
          <w:szCs w:val="20"/>
          <w:color w:val="auto"/>
        </w:rPr>
      </w:pPr>
      <w:r>
        <w:rPr>
          <w:rFonts w:ascii="Times New Roman" w:cs="Times New Roman" w:eastAsia="Times New Roman" w:hAnsi="Times New Roman"/>
          <w:sz w:val="24"/>
          <w:szCs w:val="24"/>
          <w:color w:val="auto"/>
        </w:rPr>
        <w:t>Reserve Materyaller için saatlik: 1.- (Bir TL) TL.</w:t>
      </w:r>
    </w:p>
    <w:p>
      <w:pPr>
        <w:jc w:val="both"/>
        <w:ind w:left="1120" w:hanging="417"/>
        <w:spacing w:after="0"/>
        <w:tabs>
          <w:tab w:leader="none" w:pos="112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Geciktirilen her materyal için ödenecek günlük geciktirme cezası tutarı her dönem/öğretim yılı başında Kütüphane Komiyonu tarafından belirlenerek Rektörlük Makamının onayı ile duyurulur.</w:t>
      </w:r>
    </w:p>
    <w:p>
      <w:pPr>
        <w:ind w:left="700"/>
        <w:spacing w:after="0"/>
        <w:rPr>
          <w:sz w:val="20"/>
          <w:szCs w:val="20"/>
          <w:color w:val="auto"/>
        </w:rPr>
      </w:pPr>
      <w:r>
        <w:rPr>
          <w:rFonts w:ascii="Times New Roman" w:cs="Times New Roman" w:eastAsia="Times New Roman" w:hAnsi="Times New Roman"/>
          <w:sz w:val="24"/>
          <w:szCs w:val="24"/>
          <w:b w:val="1"/>
          <w:bCs w:val="1"/>
          <w:color w:val="auto"/>
        </w:rPr>
        <w:t>Kaybolan veya Hasar Gören Materyaller</w:t>
      </w:r>
    </w:p>
    <w:p>
      <w:pPr>
        <w:ind w:firstLine="709"/>
        <w:spacing w:after="0"/>
        <w:rPr>
          <w:sz w:val="20"/>
          <w:szCs w:val="20"/>
          <w:color w:val="auto"/>
        </w:rPr>
      </w:pPr>
      <w:r>
        <w:rPr>
          <w:rFonts w:ascii="Times New Roman" w:cs="Times New Roman" w:eastAsia="Times New Roman" w:hAnsi="Times New Roman"/>
          <w:sz w:val="24"/>
          <w:szCs w:val="24"/>
          <w:b w:val="1"/>
          <w:bCs w:val="1"/>
          <w:color w:val="auto"/>
        </w:rPr>
        <w:t xml:space="preserve">MADDE 13 – </w:t>
      </w:r>
      <w:r>
        <w:rPr>
          <w:rFonts w:ascii="Times New Roman" w:cs="Times New Roman" w:eastAsia="Times New Roman" w:hAnsi="Times New Roman"/>
          <w:sz w:val="24"/>
          <w:szCs w:val="24"/>
          <w:color w:val="auto"/>
        </w:rPr>
        <w:t>Ödünç alınan materyallerin kullanıcı tarafından kaybedilmesi veya hasara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uğratılması durumunda;</w:t>
      </w:r>
    </w:p>
    <w:p>
      <w:pPr>
        <w:ind w:left="1120" w:hanging="417"/>
        <w:spacing w:after="0"/>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Kayıp veya hasar durumu kullanıcı tarafından Kütüphane ilgili birimine bildirilir.</w:t>
      </w:r>
    </w:p>
    <w:p>
      <w:pPr>
        <w:jc w:val="both"/>
        <w:ind w:left="1120" w:hanging="417"/>
        <w:spacing w:after="0" w:line="239" w:lineRule="auto"/>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alınan ve gününde iade edilmeyen materyal için her ay (Fakülte/MYO/Enstitü/ Hazırlık Sınıfı Md. ve ilgili birimlere) hatırlatma yazısı gönderilir. Ödünç verilen materyal, iade süresi bitiminden itibaren 3 ay içerisinde Kütüphaneye teslim edilmediği takdirde kayıp sayılır ve Kütüphane Yönetimince kayıp işlemleri başlatılır. Durum yasal işlem yapılması için Rektörlük Makamına bildirilir.</w:t>
      </w:r>
    </w:p>
    <w:p>
      <w:pPr>
        <w:spacing w:after="0" w:line="4" w:lineRule="exact"/>
        <w:rPr>
          <w:rFonts w:ascii="Times New Roman" w:cs="Times New Roman" w:eastAsia="Times New Roman" w:hAnsi="Times New Roman"/>
          <w:sz w:val="24"/>
          <w:szCs w:val="24"/>
          <w:color w:val="auto"/>
        </w:rPr>
      </w:pPr>
    </w:p>
    <w:p>
      <w:pPr>
        <w:jc w:val="both"/>
        <w:ind w:left="1120" w:hanging="417"/>
        <w:spacing w:after="0" w:line="250" w:lineRule="auto"/>
        <w:tabs>
          <w:tab w:leader="none" w:pos="1120" w:val="left"/>
        </w:tabs>
        <w:numPr>
          <w:ilvl w:val="0"/>
          <w:numId w:val="1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Ödünç alınan materyal 20 kez geciktirildiğinde, kütüphane okuyucuya bu durumu bildirir. Tekrarı halinde ise, dönem sonuna kadar okuyucu kütüphaneden materyal ödünç alamaz.</w:t>
      </w:r>
    </w:p>
    <w:p>
      <w:pPr>
        <w:spacing w:after="0" w:line="1" w:lineRule="exact"/>
        <w:rPr>
          <w:rFonts w:ascii="Times New Roman" w:cs="Times New Roman" w:eastAsia="Times New Roman" w:hAnsi="Times New Roman"/>
          <w:sz w:val="23"/>
          <w:szCs w:val="23"/>
          <w:color w:val="auto"/>
        </w:rPr>
      </w:pPr>
    </w:p>
    <w:p>
      <w:pPr>
        <w:ind w:left="1120" w:hanging="417"/>
        <w:spacing w:after="0"/>
        <w:tabs>
          <w:tab w:leader="none" w:pos="11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alınan materyalin kaybedilmesi veya hasar verilmesi halinde kullanıcı, kaybettiği</w:t>
      </w:r>
    </w:p>
    <w:p>
      <w:pPr>
        <w:ind w:left="1120"/>
        <w:spacing w:after="0"/>
        <w:rPr>
          <w:sz w:val="20"/>
          <w:szCs w:val="20"/>
          <w:color w:val="auto"/>
        </w:rPr>
      </w:pPr>
      <w:r>
        <w:rPr>
          <w:rFonts w:ascii="Times New Roman" w:cs="Times New Roman" w:eastAsia="Times New Roman" w:hAnsi="Times New Roman"/>
          <w:sz w:val="24"/>
          <w:szCs w:val="24"/>
          <w:color w:val="auto"/>
        </w:rPr>
        <w:t>veya hasar verdiği materyalin aynısını temin etmekle yükümlüdür.</w:t>
      </w:r>
    </w:p>
    <w:p>
      <w:pPr>
        <w:ind w:left="700"/>
        <w:spacing w:after="0"/>
        <w:rPr>
          <w:sz w:val="20"/>
          <w:szCs w:val="20"/>
          <w:color w:val="auto"/>
        </w:rPr>
      </w:pPr>
      <w:r>
        <w:rPr>
          <w:rFonts w:ascii="Times New Roman" w:cs="Times New Roman" w:eastAsia="Times New Roman" w:hAnsi="Times New Roman"/>
          <w:sz w:val="24"/>
          <w:szCs w:val="24"/>
          <w:color w:val="auto"/>
        </w:rPr>
        <w:t>Materyal bulunamadığı takdirde;</w:t>
      </w:r>
    </w:p>
    <w:p>
      <w:pPr>
        <w:jc w:val="both"/>
        <w:ind w:firstLine="708"/>
        <w:spacing w:after="0"/>
        <w:rPr>
          <w:sz w:val="20"/>
          <w:szCs w:val="20"/>
          <w:color w:val="auto"/>
        </w:rPr>
      </w:pPr>
      <w:r>
        <w:rPr>
          <w:rFonts w:ascii="Times New Roman" w:cs="Times New Roman" w:eastAsia="Times New Roman" w:hAnsi="Times New Roman"/>
          <w:sz w:val="24"/>
          <w:szCs w:val="24"/>
          <w:color w:val="auto"/>
        </w:rPr>
        <w:t>Yurtiçi ve Yurtdışı piyasalarda bulunabilecek materyallerin güncel fiyatına %50 işlem parası eklenerek alınır.</w:t>
      </w:r>
    </w:p>
    <w:p>
      <w:pPr>
        <w:jc w:val="both"/>
        <w:ind w:firstLine="708"/>
        <w:spacing w:after="0"/>
        <w:rPr>
          <w:sz w:val="20"/>
          <w:szCs w:val="20"/>
          <w:color w:val="auto"/>
        </w:rPr>
      </w:pPr>
      <w:r>
        <w:rPr>
          <w:rFonts w:ascii="Times New Roman" w:cs="Times New Roman" w:eastAsia="Times New Roman" w:hAnsi="Times New Roman"/>
          <w:sz w:val="24"/>
          <w:szCs w:val="24"/>
          <w:color w:val="auto"/>
        </w:rPr>
        <w:t>Reserve Birimi'nde (kısa süreli ödünç verme birimi) bulunan materyallerin kaybı durumunda güncel fiyatına %100 işlem parası eklenerek alınır.</w:t>
      </w:r>
    </w:p>
    <w:p>
      <w:pPr>
        <w:jc w:val="both"/>
        <w:ind w:firstLine="709"/>
        <w:spacing w:after="0"/>
        <w:rPr>
          <w:sz w:val="20"/>
          <w:szCs w:val="20"/>
          <w:color w:val="auto"/>
        </w:rPr>
      </w:pPr>
      <w:r>
        <w:rPr>
          <w:rFonts w:ascii="Times New Roman" w:cs="Times New Roman" w:eastAsia="Times New Roman" w:hAnsi="Times New Roman"/>
          <w:sz w:val="24"/>
          <w:szCs w:val="24"/>
          <w:color w:val="auto"/>
        </w:rPr>
        <w:t>Baskısı tükenmiş materyalerin kaybedilmesi durumunda ise Kütüphane Müdürlüğü’nce belirlenen fiyatı ve $50 dolar karşılığı Türk Lirası alınır. Hesaplamalarda günlük Merkez Bankası dolar kuru esas alınır.</w:t>
      </w:r>
    </w:p>
    <w:p>
      <w:pPr>
        <w:ind w:left="1120" w:hanging="417"/>
        <w:spacing w:after="0" w:line="241" w:lineRule="auto"/>
        <w:tabs>
          <w:tab w:leader="none" w:pos="11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Kullanıcı, kaybettiği veya hasar verdiği materyallerin son iade tarihinden itibaren geçen süre için ayrıca, Materyal İade Geciktirme Ücreti öder.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Ücretlerin Ödenmesi</w:t>
      </w: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14 – </w:t>
      </w:r>
      <w:r>
        <w:rPr>
          <w:rFonts w:ascii="Times New Roman" w:cs="Times New Roman" w:eastAsia="Times New Roman" w:hAnsi="Times New Roman"/>
          <w:sz w:val="24"/>
          <w:szCs w:val="24"/>
          <w:color w:val="auto"/>
        </w:rPr>
        <w:t>Materyal İade Geciktirme Ücreti, Materyal Hasar Ücreti, v.b. ücretler,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Kütüphane Borcu olarak Kütüphane Otomasyon sistemi ve Ödünç Verme Birimi tarafından kayıt altına alınır. Kütüphane Borcu ilgili birime makbuz karşılığında ödenir. Herhangi bir anlaşmazlık durumunda Kütüphane kayıtları geçerlidir.</w:t>
      </w:r>
    </w:p>
    <w:p>
      <w:pPr>
        <w:jc w:val="both"/>
        <w:ind w:firstLine="708"/>
        <w:spacing w:after="0"/>
        <w:rPr>
          <w:sz w:val="20"/>
          <w:szCs w:val="20"/>
          <w:color w:val="auto"/>
        </w:rPr>
      </w:pPr>
      <w:r>
        <w:rPr>
          <w:rFonts w:ascii="Times New Roman" w:cs="Times New Roman" w:eastAsia="Times New Roman" w:hAnsi="Times New Roman"/>
          <w:sz w:val="24"/>
          <w:szCs w:val="24"/>
          <w:color w:val="auto"/>
        </w:rPr>
        <w:t>Kütüphaneye borcu olan üniversite personeli yazılı ve sözlü yapılan uyarılara rağmen borcunu ödemez ise, Kütüphane ve Dokümantasyon Müdürlüğü her eğitim ve öğretim dönemi başında Kütüphaneye borcu olan personeli liste halinde Rektörlük Makamına bildirir. Kütüphane borcu, bu bildirimi müteakip ilk maaş ödemesinde ilgili kişinin maaşından düşülerek üniversiteye gelir kaydedilir.</w:t>
      </w:r>
    </w:p>
    <w:p>
      <w:pPr>
        <w:ind w:left="700"/>
        <w:spacing w:after="0"/>
        <w:rPr>
          <w:sz w:val="20"/>
          <w:szCs w:val="20"/>
          <w:color w:val="auto"/>
        </w:rPr>
      </w:pPr>
      <w:r>
        <w:rPr>
          <w:rFonts w:ascii="Times New Roman" w:cs="Times New Roman" w:eastAsia="Times New Roman" w:hAnsi="Times New Roman"/>
          <w:sz w:val="24"/>
          <w:szCs w:val="24"/>
          <w:b w:val="1"/>
          <w:bCs w:val="1"/>
          <w:color w:val="auto"/>
        </w:rPr>
        <w:t>Uygulanacak Yaptırımlar</w:t>
      </w:r>
    </w:p>
    <w:p>
      <w:pPr>
        <w:jc w:val="both"/>
        <w:ind w:firstLine="709"/>
        <w:spacing w:after="0"/>
        <w:rPr>
          <w:sz w:val="20"/>
          <w:szCs w:val="20"/>
          <w:color w:val="auto"/>
        </w:rPr>
      </w:pPr>
      <w:r>
        <w:rPr>
          <w:rFonts w:ascii="Times New Roman" w:cs="Times New Roman" w:eastAsia="Times New Roman" w:hAnsi="Times New Roman"/>
          <w:sz w:val="24"/>
          <w:szCs w:val="24"/>
          <w:b w:val="1"/>
          <w:bCs w:val="1"/>
          <w:color w:val="auto"/>
        </w:rPr>
        <w:t xml:space="preserve">MADDE 15 – </w:t>
      </w:r>
      <w:r>
        <w:rPr>
          <w:rFonts w:ascii="Times New Roman" w:cs="Times New Roman" w:eastAsia="Times New Roman" w:hAnsi="Times New Roman"/>
          <w:sz w:val="24"/>
          <w:szCs w:val="24"/>
          <w:color w:val="auto"/>
        </w:rPr>
        <w:t>Yönerge maddelerine aykırı davranışlarda bulunanlara aşağıdaki yaptırımlar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uygulanır:</w:t>
      </w:r>
    </w:p>
    <w:p>
      <w:pPr>
        <w:ind w:left="1120" w:hanging="417"/>
        <w:spacing w:after="0"/>
        <w:tabs>
          <w:tab w:leader="none" w:pos="11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Üzerinde ödenmemiş kütüphane borcu bulunan kullanıcılara herhangi bir materyal ödünç verilmez.</w:t>
      </w:r>
    </w:p>
    <w:p>
      <w:pPr>
        <w:jc w:val="both"/>
        <w:ind w:left="1120" w:hanging="417"/>
        <w:spacing w:after="0" w:line="260" w:lineRule="auto"/>
        <w:tabs>
          <w:tab w:leader="none" w:pos="1120" w:val="left"/>
        </w:tabs>
        <w:numPr>
          <w:ilvl w:val="0"/>
          <w:numId w:val="1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Nadir ve özel değere sahip, yeri doldurulamayacak materyallerin kaybedilmesi veya hasar görmesi (telafisi mümkün olmayan kayıp ve hasarlar) halinde sorumlu olan kullanıcıların kütüphane kullanım hakkı, Kütüphane Müdürlüğünün uygun gördüğü süre boyunca</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w:t>
      </w:r>
    </w:p>
    <w:p>
      <w:pPr>
        <w:spacing w:after="0" w:line="2"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p>
      <w:pPr>
        <w:sectPr>
          <w:pgSz w:w="11900" w:h="16840" w:orient="portrait"/>
          <w:cols w:equalWidth="0" w:num="1">
            <w:col w:w="9640"/>
          </w:cols>
          <w:pgMar w:left="1140" w:top="1440" w:right="1124" w:bottom="394" w:gutter="0" w:footer="0" w:header="0"/>
        </w:sectPr>
      </w:pPr>
    </w:p>
    <w:bookmarkStart w:id="7" w:name="page8"/>
    <w:bookmarkEnd w:id="7"/>
    <w:p>
      <w:pPr>
        <w:spacing w:after="0" w:line="7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dondurulur. Bu gibi durumlarda Materyal Hasar / Kayıp Ücreti özel olarak belirlenir.</w:t>
      </w:r>
    </w:p>
    <w:p>
      <w:pPr>
        <w:spacing w:after="0" w:line="8"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Ayrıca sorumlular hakkında disiplin soruşturması açılır ve diğer yaptırımlar uygulanır.</w:t>
      </w:r>
    </w:p>
    <w:p>
      <w:pPr>
        <w:jc w:val="both"/>
        <w:ind w:left="1120" w:hanging="417"/>
        <w:spacing w:after="0"/>
        <w:tabs>
          <w:tab w:leader="none" w:pos="11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Kütüphane personeli, kütüphane içinde uygunsuz davranışlarda bulunulması, kitap ve kütüphane materyallerine yönelik yıpratıcı uygulamaların oluşması, kayıt yaptırmadan materyallerin Kütüphane dışına izinsiz çıkartılması, kayıp veya hasar vakalarının kasıtlı olarak tekrarı ve genel olarak bu Yönergede belirtilen kurallara uyulmaması halinde ilgili şahıslar hakkında tutanak hazırlar. Bu kişilerin Üniversite Yönetimince Kütüphaneden yararlanma hakları kısıtlanır, haklarında disiplin soruşturması açılır ve diğer yaptırımlar uygulanır.</w:t>
      </w:r>
    </w:p>
    <w:p>
      <w:pPr>
        <w:ind w:left="700"/>
        <w:spacing w:after="0"/>
        <w:rPr>
          <w:sz w:val="20"/>
          <w:szCs w:val="20"/>
          <w:color w:val="auto"/>
        </w:rPr>
      </w:pPr>
      <w:r>
        <w:rPr>
          <w:rFonts w:ascii="Times New Roman" w:cs="Times New Roman" w:eastAsia="Times New Roman" w:hAnsi="Times New Roman"/>
          <w:sz w:val="24"/>
          <w:szCs w:val="24"/>
          <w:b w:val="1"/>
          <w:bCs w:val="1"/>
          <w:color w:val="auto"/>
        </w:rPr>
        <w:t>Kütüphanelerarası Ödünç Verme (ILL)</w:t>
      </w:r>
    </w:p>
    <w:p>
      <w:pPr>
        <w:ind w:firstLine="709"/>
        <w:spacing w:after="0"/>
        <w:rPr>
          <w:sz w:val="20"/>
          <w:szCs w:val="20"/>
          <w:color w:val="auto"/>
        </w:rPr>
      </w:pPr>
      <w:r>
        <w:rPr>
          <w:rFonts w:ascii="Times New Roman" w:cs="Times New Roman" w:eastAsia="Times New Roman" w:hAnsi="Times New Roman"/>
          <w:sz w:val="24"/>
          <w:szCs w:val="24"/>
          <w:b w:val="1"/>
          <w:bCs w:val="1"/>
          <w:color w:val="auto"/>
        </w:rPr>
        <w:t xml:space="preserve">MADDE 16 – </w:t>
      </w:r>
      <w:r>
        <w:rPr>
          <w:rFonts w:ascii="Times New Roman" w:cs="Times New Roman" w:eastAsia="Times New Roman" w:hAnsi="Times New Roman"/>
          <w:sz w:val="24"/>
          <w:szCs w:val="24"/>
          <w:color w:val="auto"/>
        </w:rPr>
        <w:t>Kütüphane, aşağıdaki kurallar çerçevesinde kullanıcılar için diğer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kütüphanelerden makale fotokopisi ve kitap getirtme hizmeti de verir:</w:t>
      </w:r>
    </w:p>
    <w:p>
      <w:pPr>
        <w:ind w:left="1120" w:hanging="417"/>
        <w:spacing w:after="0"/>
        <w:tabs>
          <w:tab w:leader="none" w:pos="11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 hizmetlerden Akademik personel, lisansüstü ve doktora öğrencileri yararlanır.</w:t>
      </w:r>
    </w:p>
    <w:p>
      <w:pPr>
        <w:ind w:left="1120" w:hanging="417"/>
        <w:spacing w:after="0" w:line="239" w:lineRule="auto"/>
        <w:tabs>
          <w:tab w:leader="none" w:pos="11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Ödünç getirtilen materyalin iade ve ek iade süreleri ödünç veren kütüphanenin kurallarına göre belirlenir.</w:t>
      </w:r>
    </w:p>
    <w:p>
      <w:pPr>
        <w:spacing w:after="0" w:line="1" w:lineRule="exact"/>
        <w:rPr>
          <w:rFonts w:ascii="Times New Roman" w:cs="Times New Roman" w:eastAsia="Times New Roman" w:hAnsi="Times New Roman"/>
          <w:sz w:val="24"/>
          <w:szCs w:val="24"/>
          <w:color w:val="auto"/>
        </w:rPr>
      </w:pPr>
    </w:p>
    <w:p>
      <w:pPr>
        <w:ind w:left="1120" w:hanging="417"/>
        <w:spacing w:after="0"/>
        <w:tabs>
          <w:tab w:leader="none" w:pos="11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Ek iade talebi, iade süresi dolmadan, en geç bir hafta önce yapılır.</w:t>
      </w:r>
    </w:p>
    <w:p>
      <w:pPr>
        <w:jc w:val="both"/>
        <w:ind w:left="1120" w:hanging="417"/>
        <w:spacing w:after="0"/>
        <w:tabs>
          <w:tab w:leader="none" w:pos="11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Getirtilen materyallerin geciktirilmeleri ya da getirilmemeleri halinde, geciktiren ya da getirmeyen kişi kütüphanelerarası hizmetlerden Kütüphane Müdürlüğü’nün belirlediği süre zarfında faydalanamaz.</w:t>
      </w:r>
    </w:p>
    <w:p>
      <w:pPr>
        <w:ind w:left="1120" w:hanging="419"/>
        <w:spacing w:after="0" w:line="241" w:lineRule="auto"/>
        <w:tabs>
          <w:tab w:leader="none" w:pos="1100" w:val="left"/>
        </w:tabs>
        <w:rPr>
          <w:sz w:val="20"/>
          <w:szCs w:val="20"/>
          <w:color w:val="auto"/>
        </w:rPr>
      </w:pPr>
      <w:r>
        <w:rPr>
          <w:rFonts w:ascii="Times New Roman" w:cs="Times New Roman" w:eastAsia="Times New Roman" w:hAnsi="Times New Roman"/>
          <w:sz w:val="24"/>
          <w:szCs w:val="24"/>
          <w:color w:val="auto"/>
        </w:rPr>
        <w:t>e)</w:t>
        <w:tab/>
        <w:t>Kütüphanelerarası Ödünç Verme (ILL.) Hizmetlerinden faydalanmak isteyen kullanıcılar, hizmet sırasında oluşacak ücretleri (kargo v.s.) karşılamakla yükümlüdür.</w:t>
      </w:r>
    </w:p>
    <w:p>
      <w:pPr>
        <w:ind w:left="700"/>
        <w:spacing w:after="0" w:line="238" w:lineRule="auto"/>
        <w:rPr>
          <w:sz w:val="20"/>
          <w:szCs w:val="20"/>
          <w:color w:val="auto"/>
        </w:rPr>
      </w:pPr>
      <w:r>
        <w:rPr>
          <w:rFonts w:ascii="Times New Roman" w:cs="Times New Roman" w:eastAsia="Times New Roman" w:hAnsi="Times New Roman"/>
          <w:sz w:val="24"/>
          <w:szCs w:val="24"/>
          <w:b w:val="1"/>
          <w:bCs w:val="1"/>
          <w:color w:val="auto"/>
        </w:rPr>
        <w:t>Elektronik kaynaklardan yararlanma</w:t>
      </w:r>
    </w:p>
    <w:p>
      <w:pPr>
        <w:jc w:val="both"/>
        <w:ind w:firstLine="708"/>
        <w:spacing w:after="0"/>
        <w:rPr>
          <w:sz w:val="20"/>
          <w:szCs w:val="20"/>
          <w:color w:val="auto"/>
        </w:rPr>
      </w:pPr>
      <w:r>
        <w:rPr>
          <w:rFonts w:ascii="Times New Roman" w:cs="Times New Roman" w:eastAsia="Times New Roman" w:hAnsi="Times New Roman"/>
          <w:sz w:val="24"/>
          <w:szCs w:val="24"/>
          <w:b w:val="1"/>
          <w:bCs w:val="1"/>
          <w:color w:val="auto"/>
        </w:rPr>
        <w:t xml:space="preserve">MADDE 17 – </w:t>
      </w:r>
      <w:r>
        <w:rPr>
          <w:rFonts w:ascii="Times New Roman" w:cs="Times New Roman" w:eastAsia="Times New Roman" w:hAnsi="Times New Roman"/>
          <w:sz w:val="24"/>
          <w:szCs w:val="24"/>
          <w:color w:val="auto"/>
        </w:rPr>
        <w:t>Türk Hava Kurumu Üniversitesi mensupları üniversitemize sağlanan IP</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erişimi ile Türk Hava Kurumu Üniversitesi yerleşkelerinde kütüphanenin abone olduğu elektronik kaynaklara üniversite içinden veya Kütüphane ve Dokümantasyon Müdürlüğünün sunduğu uzaktan erişim hizmeti ile erişim sağlayabilirler. Bu kullanım sırasında İçerik sağlayıcı firma ile Üniversite arasında yapılan lisans anlaşmasına uyulması zorunludur.</w:t>
      </w:r>
    </w:p>
    <w:p>
      <w:pPr>
        <w:spacing w:after="0" w:line="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jc w:val="both"/>
        <w:ind w:firstLine="708"/>
        <w:spacing w:after="0" w:line="235" w:lineRule="auto"/>
        <w:rPr>
          <w:sz w:val="20"/>
          <w:szCs w:val="20"/>
          <w:color w:val="auto"/>
        </w:rPr>
      </w:pPr>
      <w:r>
        <w:rPr>
          <w:rFonts w:ascii="Times New Roman" w:cs="Times New Roman" w:eastAsia="Times New Roman" w:hAnsi="Times New Roman"/>
          <w:sz w:val="24"/>
          <w:szCs w:val="24"/>
          <w:b w:val="1"/>
          <w:bCs w:val="1"/>
          <w:color w:val="auto"/>
        </w:rPr>
        <w:t xml:space="preserve">MADDE 18 – </w:t>
      </w:r>
      <w:r>
        <w:rPr>
          <w:rFonts w:ascii="Times New Roman" w:cs="Times New Roman" w:eastAsia="Times New Roman" w:hAnsi="Times New Roman"/>
          <w:sz w:val="23"/>
          <w:szCs w:val="23"/>
          <w:color w:val="auto"/>
        </w:rPr>
        <w:t>Bu Yönerge, Üniversite Senatosunun kabulü ve Mütevelli Heyet onayından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3"/>
          <w:szCs w:val="23"/>
          <w:color w:val="auto"/>
        </w:rPr>
        <w:t>sonra yürürlüğe girer.</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19 –  </w:t>
      </w:r>
      <w:r>
        <w:rPr>
          <w:rFonts w:ascii="Times New Roman" w:cs="Times New Roman" w:eastAsia="Times New Roman" w:hAnsi="Times New Roman"/>
          <w:sz w:val="23"/>
          <w:szCs w:val="23"/>
          <w:color w:val="auto"/>
        </w:rPr>
        <w:t>Bu Yönerge, Türk Hava Kurumu Üniversitesi Rektörü tarafından 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w:t>
      </w:r>
    </w:p>
    <w:p>
      <w:pPr>
        <w:spacing w:after="0" w:line="10" w:lineRule="exact"/>
        <w:rPr>
          <w:sz w:val="20"/>
          <w:szCs w:val="20"/>
          <w:color w:val="auto"/>
        </w:rPr>
      </w:pPr>
    </w:p>
    <w:p>
      <w:pPr>
        <w:ind w:left="6740"/>
        <w:spacing w:after="0"/>
        <w:rPr>
          <w:sz w:val="20"/>
          <w:szCs w:val="20"/>
          <w:color w:val="auto"/>
        </w:rPr>
      </w:pPr>
      <w:r>
        <w:rPr>
          <w:rFonts w:ascii="Times New Roman" w:cs="Times New Roman" w:eastAsia="Times New Roman" w:hAnsi="Times New Roman"/>
          <w:sz w:val="22"/>
          <w:szCs w:val="22"/>
          <w:color w:val="auto"/>
        </w:rPr>
        <w:t>Senato K.T. / No: 20.04.2012/14</w:t>
      </w:r>
    </w:p>
    <w:sectPr>
      <w:pgSz w:w="11900" w:h="16840" w:orient="portrait"/>
      <w:cols w:equalWidth="0" w:num="1">
        <w:col w:w="9640"/>
      </w:cols>
      <w:pgMar w:left="1140" w:top="1440" w:right="1124" w:bottom="39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F16E9E8"/>
    <w:multiLevelType w:val="hybridMultilevel"/>
    <w:lvl w:ilvl="0">
      <w:lvlJc w:val="left"/>
      <w:lvlText w:val="%1)"/>
      <w:numFmt w:val="lowerLetter"/>
      <w:start w:val="1"/>
    </w:lvl>
  </w:abstractNum>
  <w:abstractNum w:abstractNumId="1">
    <w:nsid w:val="1190CDE7"/>
    <w:multiLevelType w:val="hybridMultilevel"/>
    <w:lvl w:ilvl="0">
      <w:lvlJc w:val="left"/>
      <w:lvlText w:val="%1)"/>
      <w:numFmt w:val="decimal"/>
      <w:start w:val="1"/>
    </w:lvl>
  </w:abstractNum>
  <w:abstractNum w:abstractNumId="2">
    <w:nsid w:val="66EF438D"/>
    <w:multiLevelType w:val="hybridMultilevel"/>
    <w:lvl w:ilvl="0">
      <w:lvlJc w:val="left"/>
      <w:lvlText w:val="%1)"/>
      <w:numFmt w:val="lowerLetter"/>
      <w:start w:val="1"/>
    </w:lvl>
  </w:abstractNum>
  <w:abstractNum w:abstractNumId="3">
    <w:nsid w:val="140E0F76"/>
    <w:multiLevelType w:val="hybridMultilevel"/>
    <w:lvl w:ilvl="0">
      <w:lvlJc w:val="left"/>
      <w:lvlText w:val="%1)"/>
      <w:numFmt w:val="lowerLetter"/>
      <w:start w:val="1"/>
    </w:lvl>
  </w:abstractNum>
  <w:abstractNum w:abstractNumId="4">
    <w:nsid w:val="3352255A"/>
    <w:multiLevelType w:val="hybridMultilevel"/>
    <w:lvl w:ilvl="0">
      <w:lvlJc w:val="left"/>
      <w:lvlText w:val="%1)"/>
      <w:numFmt w:val="lowerLetter"/>
      <w:start w:val="1"/>
    </w:lvl>
  </w:abstractNum>
  <w:abstractNum w:abstractNumId="5">
    <w:nsid w:val="109CF92E"/>
    <w:multiLevelType w:val="hybridMultilevel"/>
    <w:lvl w:ilvl="0">
      <w:lvlJc w:val="left"/>
      <w:lvlText w:val="%1)"/>
      <w:numFmt w:val="lowerLetter"/>
      <w:start w:val="1"/>
    </w:lvl>
  </w:abstractNum>
  <w:abstractNum w:abstractNumId="6">
    <w:nsid w:val="DED7263"/>
    <w:multiLevelType w:val="hybridMultilevel"/>
    <w:lvl w:ilvl="0">
      <w:lvlJc w:val="left"/>
      <w:lvlText w:val="%1)"/>
      <w:numFmt w:val="lowerLetter"/>
      <w:start w:val="1"/>
    </w:lvl>
  </w:abstractNum>
  <w:abstractNum w:abstractNumId="7">
    <w:nsid w:val="7FDCC233"/>
    <w:multiLevelType w:val="hybridMultilevel"/>
    <w:lvl w:ilvl="0">
      <w:lvlJc w:val="left"/>
      <w:lvlText w:val="%1)"/>
      <w:numFmt w:val="lowerLetter"/>
      <w:start w:val="1"/>
    </w:lvl>
  </w:abstractNum>
  <w:abstractNum w:abstractNumId="8">
    <w:nsid w:val="1BEFD79F"/>
    <w:multiLevelType w:val="hybridMultilevel"/>
    <w:lvl w:ilvl="0">
      <w:lvlJc w:val="left"/>
      <w:lvlText w:val="%1."/>
      <w:numFmt w:val="decimal"/>
      <w:start w:val="1"/>
    </w:lvl>
    <w:lvl w:ilvl="1">
      <w:lvlJc w:val="left"/>
      <w:lvlText w:val="%2."/>
      <w:numFmt w:val="upperLetter"/>
      <w:start w:val="35"/>
    </w:lvl>
  </w:abstractNum>
  <w:abstractNum w:abstractNumId="9">
    <w:nsid w:val="41A7C4C9"/>
    <w:multiLevelType w:val="hybridMultilevel"/>
    <w:lvl w:ilvl="0">
      <w:lvlJc w:val="left"/>
      <w:lvlText w:val="%1."/>
      <w:numFmt w:val="decimal"/>
      <w:start w:val="1"/>
    </w:lvl>
    <w:lvl w:ilvl="1">
      <w:lvlJc w:val="left"/>
      <w:lvlText w:val="%2."/>
      <w:numFmt w:val="upperLetter"/>
      <w:start w:val="61"/>
    </w:lvl>
  </w:abstractNum>
  <w:abstractNum w:abstractNumId="10">
    <w:nsid w:val="6B68079A"/>
    <w:multiLevelType w:val="hybridMultilevel"/>
    <w:lvl w:ilvl="0">
      <w:lvlJc w:val="left"/>
      <w:lvlText w:val="%1."/>
      <w:numFmt w:val="decimal"/>
      <w:start w:val="1"/>
    </w:lvl>
    <w:lvl w:ilvl="1">
      <w:lvlJc w:val="left"/>
      <w:lvlText w:val="%2)"/>
      <w:numFmt w:val="lowerLetter"/>
      <w:start w:val="1"/>
    </w:lvl>
  </w:abstractNum>
  <w:abstractNum w:abstractNumId="11">
    <w:nsid w:val="4E6AFB66"/>
    <w:multiLevelType w:val="hybridMultilevel"/>
    <w:lvl w:ilvl="0">
      <w:lvlJc w:val="left"/>
      <w:lvlText w:val="%1)"/>
      <w:numFmt w:val="lowerLetter"/>
      <w:start w:val="1"/>
    </w:lvl>
  </w:abstractNum>
  <w:abstractNum w:abstractNumId="12">
    <w:nsid w:val="25E45D32"/>
    <w:multiLevelType w:val="hybridMultilevel"/>
    <w:lvl w:ilvl="0">
      <w:lvlJc w:val="left"/>
      <w:lvlText w:val="%1)"/>
      <w:numFmt w:val="lowerLetter"/>
      <w:start w:val="3"/>
    </w:lvl>
  </w:abstractNum>
  <w:abstractNum w:abstractNumId="13">
    <w:nsid w:val="519B500D"/>
    <w:multiLevelType w:val="hybridMultilevel"/>
    <w:lvl w:ilvl="0">
      <w:lvlJc w:val="left"/>
      <w:lvlText w:val="%1)"/>
      <w:numFmt w:val="lowerLetter"/>
      <w:start w:val="12"/>
    </w:lvl>
  </w:abstractNum>
  <w:abstractNum w:abstractNumId="14">
    <w:nsid w:val="431BD7B7"/>
    <w:multiLevelType w:val="hybridMultilevel"/>
    <w:lvl w:ilvl="0">
      <w:lvlJc w:val="left"/>
      <w:lvlText w:val="%1)"/>
      <w:numFmt w:val="lowerLetter"/>
      <w:start w:val="1"/>
    </w:lvl>
  </w:abstractNum>
  <w:abstractNum w:abstractNumId="15">
    <w:nsid w:val="3F2DBA31"/>
    <w:multiLevelType w:val="hybridMultilevel"/>
    <w:lvl w:ilvl="0">
      <w:lvlJc w:val="left"/>
      <w:lvlText w:val="%1)"/>
      <w:numFmt w:val="lowerLetter"/>
      <w:start w:val="2"/>
    </w:lvl>
  </w:abstractNum>
  <w:abstractNum w:abstractNumId="16">
    <w:nsid w:val="7C83E458"/>
    <w:multiLevelType w:val="hybridMultilevel"/>
    <w:lvl w:ilvl="0">
      <w:lvlJc w:val="left"/>
      <w:lvlText w:val="%1)"/>
      <w:numFmt w:val="lowerLetter"/>
      <w:start w:val="1"/>
    </w:lvl>
  </w:abstractNum>
  <w:abstractNum w:abstractNumId="17">
    <w:nsid w:val="257130A3"/>
    <w:multiLevelType w:val="hybridMultilevel"/>
    <w:lvl w:ilvl="0">
      <w:lvlJc w:val="left"/>
      <w:lvlText w:val="%1)"/>
      <w:numFmt w:val="lowerLetter"/>
      <w:start w:val="5"/>
    </w:lvl>
  </w:abstractNum>
  <w:abstractNum w:abstractNumId="18">
    <w:nsid w:val="62BBD95A"/>
    <w:multiLevelType w:val="hybridMultilevel"/>
    <w:lvl w:ilvl="0">
      <w:lvlJc w:val="left"/>
      <w:lvlText w:val="%1)"/>
      <w:numFmt w:val="lowerLetter"/>
      <w:start w:val="1"/>
    </w:lvl>
  </w:abstractNum>
  <w:abstractNum w:abstractNumId="19">
    <w:nsid w:val="436C6125"/>
    <w:multiLevelType w:val="hybridMultilevel"/>
    <w:lvl w:ilvl="0">
      <w:lvlJc w:val="left"/>
      <w:lvlText w:val="%1)"/>
      <w:numFmt w:val="lowerLetter"/>
      <w:start w:val="3"/>
    </w:lvl>
  </w:abstractNum>
  <w:abstractNum w:abstractNumId="20">
    <w:nsid w:val="628C895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2020-12-14T11:56:00Z</dcterms:created>
  <dcterms:modified xsi:type="dcterms:W3CDTF">2020-12-14T11:56:00Z</dcterms:modified>
</cp:coreProperties>
</file>